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0B46F" w14:textId="14A79E52"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041197">
        <w:rPr>
          <w:rFonts w:eastAsia="Times New Roman" w:cs="Calibri"/>
          <w:b/>
          <w:spacing w:val="-3"/>
          <w:sz w:val="24"/>
          <w:szCs w:val="24"/>
          <w:u w:val="single"/>
          <w:lang w:val="en-GB" w:eastAsia="hr-HR"/>
        </w:rPr>
        <w:t xml:space="preserve"> </w:t>
      </w:r>
    </w:p>
    <w:p w14:paraId="1856E45D" w14:textId="0C37C3BB" w:rsidR="007E222A" w:rsidRPr="00041197" w:rsidRDefault="00A54F84"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Pr>
          <w:noProof/>
        </w:rPr>
        <w:drawing>
          <wp:anchor distT="0" distB="0" distL="114300" distR="114300" simplePos="0" relativeHeight="251666432" behindDoc="1" locked="0" layoutInCell="1" allowOverlap="1" wp14:anchorId="525C877E" wp14:editId="42C6CD35">
            <wp:simplePos x="0" y="0"/>
            <wp:positionH relativeFrom="column">
              <wp:posOffset>-140335</wp:posOffset>
            </wp:positionH>
            <wp:positionV relativeFrom="paragraph">
              <wp:posOffset>182245</wp:posOffset>
            </wp:positionV>
            <wp:extent cx="6800850" cy="1419225"/>
            <wp:effectExtent l="0" t="0" r="0" b="0"/>
            <wp:wrapTight wrapText="bothSides">
              <wp:wrapPolygon edited="0">
                <wp:start x="1694" y="7248"/>
                <wp:lineTo x="968" y="9278"/>
                <wp:lineTo x="847" y="9858"/>
                <wp:lineTo x="908" y="17106"/>
                <wp:lineTo x="10709" y="17106"/>
                <wp:lineTo x="10891" y="15366"/>
                <wp:lineTo x="9923" y="14787"/>
                <wp:lineTo x="3872" y="12467"/>
                <wp:lineTo x="3993" y="10148"/>
                <wp:lineTo x="3630" y="9278"/>
                <wp:lineTo x="2299" y="7248"/>
                <wp:lineTo x="1694" y="7248"/>
              </wp:wrapPolygon>
            </wp:wrapTight>
            <wp:docPr id="44" name="Slika 11" descr="hbor_memo_HRV_ENG_novo_24_04-2_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bor_memo_HRV_ENG_novo_24_04-2_header_E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B0D57C" w14:textId="0C9BC53D" w:rsidR="001D478E" w:rsidRPr="008C036E" w:rsidRDefault="00EC2777" w:rsidP="00EC277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8C036E">
        <w:rPr>
          <w:rFonts w:ascii="Arial" w:eastAsia="Times New Roman" w:hAnsi="Arial" w:cs="Arial"/>
          <w:b/>
          <w:spacing w:val="-3"/>
          <w:sz w:val="28"/>
          <w:szCs w:val="28"/>
          <w:lang w:val="en-GB" w:eastAsia="hr-HR"/>
        </w:rPr>
        <w:t xml:space="preserve">SEMI-ANNUAL </w:t>
      </w:r>
      <w:r w:rsidR="00041197" w:rsidRPr="008C036E">
        <w:rPr>
          <w:rFonts w:ascii="Arial" w:eastAsia="Times New Roman" w:hAnsi="Arial" w:cs="Arial"/>
          <w:b/>
          <w:spacing w:val="-3"/>
          <w:sz w:val="28"/>
          <w:szCs w:val="28"/>
          <w:lang w:val="en-GB" w:eastAsia="hr-HR"/>
        </w:rPr>
        <w:t>REPORT</w:t>
      </w:r>
    </w:p>
    <w:p w14:paraId="4EEA7CA4" w14:textId="14BC845C" w:rsidR="00EC2777" w:rsidRPr="008C036E" w:rsidRDefault="00EC2777" w:rsidP="00EC277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p>
    <w:p w14:paraId="1F2E7CAA" w14:textId="77777777" w:rsidR="00EC2777" w:rsidRPr="008C036E" w:rsidRDefault="00EC2777" w:rsidP="00EC277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p>
    <w:p w14:paraId="53FAA39A" w14:textId="5F8B87DB" w:rsidR="00422588" w:rsidRPr="008C036E" w:rsidRDefault="00041197" w:rsidP="0029069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8C036E">
        <w:rPr>
          <w:rFonts w:ascii="Arial" w:eastAsia="Times New Roman" w:hAnsi="Arial" w:cs="Arial"/>
          <w:b/>
          <w:spacing w:val="-3"/>
          <w:sz w:val="28"/>
          <w:szCs w:val="28"/>
          <w:lang w:val="en-GB" w:eastAsia="hr-HR"/>
        </w:rPr>
        <w:t>FOR THE PERIOD</w:t>
      </w:r>
      <w:r w:rsidR="001D478E" w:rsidRPr="008C036E">
        <w:rPr>
          <w:rFonts w:ascii="Arial" w:eastAsia="Times New Roman" w:hAnsi="Arial" w:cs="Arial"/>
          <w:b/>
          <w:spacing w:val="-3"/>
          <w:sz w:val="28"/>
          <w:szCs w:val="28"/>
          <w:lang w:val="en-GB" w:eastAsia="hr-HR"/>
        </w:rPr>
        <w:t xml:space="preserve"> 1</w:t>
      </w:r>
      <w:r w:rsidRPr="008C036E">
        <w:rPr>
          <w:rFonts w:ascii="Arial" w:eastAsia="Times New Roman" w:hAnsi="Arial" w:cs="Arial"/>
          <w:b/>
          <w:spacing w:val="-3"/>
          <w:sz w:val="28"/>
          <w:szCs w:val="28"/>
          <w:lang w:val="en-GB" w:eastAsia="hr-HR"/>
        </w:rPr>
        <w:t xml:space="preserve"> JANUARY – 3</w:t>
      </w:r>
      <w:r w:rsidR="00880354" w:rsidRPr="008C036E">
        <w:rPr>
          <w:rFonts w:ascii="Arial" w:eastAsia="Times New Roman" w:hAnsi="Arial" w:cs="Arial"/>
          <w:b/>
          <w:spacing w:val="-3"/>
          <w:sz w:val="28"/>
          <w:szCs w:val="28"/>
          <w:lang w:val="en-GB" w:eastAsia="hr-HR"/>
        </w:rPr>
        <w:t>0</w:t>
      </w:r>
      <w:r w:rsidRPr="008C036E">
        <w:rPr>
          <w:rFonts w:ascii="Arial" w:eastAsia="Times New Roman" w:hAnsi="Arial" w:cs="Arial"/>
          <w:b/>
          <w:spacing w:val="-3"/>
          <w:sz w:val="28"/>
          <w:szCs w:val="28"/>
          <w:lang w:val="en-GB" w:eastAsia="hr-HR"/>
        </w:rPr>
        <w:t xml:space="preserve"> </w:t>
      </w:r>
      <w:r w:rsidR="00880354" w:rsidRPr="008C036E">
        <w:rPr>
          <w:rFonts w:ascii="Arial" w:eastAsia="Times New Roman" w:hAnsi="Arial" w:cs="Arial"/>
          <w:b/>
          <w:spacing w:val="-3"/>
          <w:sz w:val="28"/>
          <w:szCs w:val="28"/>
          <w:lang w:val="en-GB" w:eastAsia="hr-HR"/>
        </w:rPr>
        <w:t>JUNE</w:t>
      </w:r>
      <w:r w:rsidRPr="008C036E">
        <w:rPr>
          <w:rFonts w:ascii="Arial" w:eastAsia="Times New Roman" w:hAnsi="Arial" w:cs="Arial"/>
          <w:b/>
          <w:spacing w:val="-3"/>
          <w:sz w:val="28"/>
          <w:szCs w:val="28"/>
          <w:lang w:val="en-GB" w:eastAsia="hr-HR"/>
        </w:rPr>
        <w:t xml:space="preserve"> </w:t>
      </w:r>
      <w:r w:rsidR="001D478E" w:rsidRPr="008C036E">
        <w:rPr>
          <w:rFonts w:ascii="Arial" w:eastAsia="Times New Roman" w:hAnsi="Arial" w:cs="Arial"/>
          <w:b/>
          <w:spacing w:val="-3"/>
          <w:sz w:val="28"/>
          <w:szCs w:val="28"/>
          <w:lang w:val="en-GB" w:eastAsia="hr-HR"/>
        </w:rPr>
        <w:t>20</w:t>
      </w:r>
      <w:r w:rsidR="00C02F4E" w:rsidRPr="008C036E">
        <w:rPr>
          <w:rFonts w:ascii="Arial" w:eastAsia="Times New Roman" w:hAnsi="Arial" w:cs="Arial"/>
          <w:b/>
          <w:spacing w:val="-3"/>
          <w:sz w:val="28"/>
          <w:szCs w:val="28"/>
          <w:lang w:val="en-GB" w:eastAsia="hr-HR"/>
        </w:rPr>
        <w:t>2</w:t>
      </w:r>
      <w:r w:rsidR="004C1D76">
        <w:rPr>
          <w:rFonts w:ascii="Arial" w:eastAsia="Times New Roman" w:hAnsi="Arial" w:cs="Arial"/>
          <w:b/>
          <w:spacing w:val="-3"/>
          <w:sz w:val="28"/>
          <w:szCs w:val="28"/>
          <w:lang w:val="en-GB" w:eastAsia="hr-HR"/>
        </w:rPr>
        <w:t>5</w:t>
      </w:r>
    </w:p>
    <w:p w14:paraId="51633591"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412A2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6FA297A"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15FFF7"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067D36" w14:textId="057D9400" w:rsidR="007E222A" w:rsidRPr="00041197" w:rsidRDefault="001D478E"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41197">
        <w:rPr>
          <w:rFonts w:eastAsia="Times New Roman" w:cs="Calibri"/>
          <w:b/>
          <w:spacing w:val="-3"/>
          <w:sz w:val="24"/>
          <w:szCs w:val="24"/>
          <w:lang w:val="en-GB" w:eastAsia="hr-HR"/>
        </w:rPr>
        <w:t xml:space="preserve">Zagreb, </w:t>
      </w:r>
      <w:r w:rsidR="00330EEC">
        <w:rPr>
          <w:rFonts w:eastAsia="Times New Roman" w:cs="Calibri"/>
          <w:b/>
          <w:spacing w:val="-3"/>
          <w:sz w:val="24"/>
          <w:szCs w:val="24"/>
          <w:lang w:val="en-GB" w:eastAsia="hr-HR"/>
        </w:rPr>
        <w:t>August</w:t>
      </w:r>
      <w:r w:rsidR="00BC412E" w:rsidRPr="00041197">
        <w:rPr>
          <w:rFonts w:eastAsia="Times New Roman" w:cs="Calibri"/>
          <w:b/>
          <w:spacing w:val="-3"/>
          <w:sz w:val="24"/>
          <w:szCs w:val="24"/>
          <w:lang w:val="en-GB" w:eastAsia="hr-HR"/>
        </w:rPr>
        <w:t xml:space="preserve"> </w:t>
      </w:r>
      <w:r w:rsidRPr="00041197">
        <w:rPr>
          <w:rFonts w:eastAsia="Times New Roman" w:cs="Calibri"/>
          <w:b/>
          <w:spacing w:val="-3"/>
          <w:sz w:val="24"/>
          <w:szCs w:val="24"/>
          <w:lang w:val="en-GB" w:eastAsia="hr-HR"/>
        </w:rPr>
        <w:t>20</w:t>
      </w:r>
      <w:r w:rsidR="00C02F4E">
        <w:rPr>
          <w:rFonts w:eastAsia="Times New Roman" w:cs="Calibri"/>
          <w:b/>
          <w:spacing w:val="-3"/>
          <w:sz w:val="24"/>
          <w:szCs w:val="24"/>
          <w:lang w:val="en-GB" w:eastAsia="hr-HR"/>
        </w:rPr>
        <w:t>2</w:t>
      </w:r>
      <w:r w:rsidR="004C1D76">
        <w:rPr>
          <w:rFonts w:eastAsia="Times New Roman" w:cs="Calibri"/>
          <w:b/>
          <w:spacing w:val="-3"/>
          <w:sz w:val="24"/>
          <w:szCs w:val="24"/>
          <w:lang w:val="en-GB" w:eastAsia="hr-HR"/>
        </w:rPr>
        <w:t>5</w:t>
      </w: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footerReference w:type="default" r:id="rId9"/>
          <w:pgSz w:w="11906" w:h="16838" w:code="9"/>
          <w:pgMar w:top="596" w:right="1133" w:bottom="1417" w:left="1417" w:header="709" w:footer="709" w:gutter="0"/>
          <w:cols w:space="708"/>
          <w:titlePg/>
          <w:docGrid w:linePitch="360"/>
        </w:sectPr>
      </w:pPr>
    </w:p>
    <w:p w14:paraId="5F514A1D" w14:textId="4D1AE9A5" w:rsidR="00EC2777" w:rsidRDefault="007E308E">
      <w:pPr>
        <w:rPr>
          <w:rFonts w:eastAsia="Times New Roman" w:cs="Calibri"/>
          <w:b/>
          <w:spacing w:val="-3"/>
          <w:sz w:val="24"/>
          <w:szCs w:val="24"/>
          <w:u w:val="single"/>
          <w:lang w:val="en-GB" w:eastAsia="hr-HR"/>
        </w:rPr>
      </w:pPr>
      <w:r>
        <w:rPr>
          <w:noProof/>
        </w:rPr>
        <w:lastRenderedPageBreak/>
        <w:drawing>
          <wp:anchor distT="0" distB="0" distL="114300" distR="114300" simplePos="0" relativeHeight="251668480" behindDoc="1" locked="0" layoutInCell="1" allowOverlap="1" wp14:anchorId="1C823436" wp14:editId="4A19CA37">
            <wp:simplePos x="0" y="0"/>
            <wp:positionH relativeFrom="column">
              <wp:posOffset>-140335</wp:posOffset>
            </wp:positionH>
            <wp:positionV relativeFrom="paragraph">
              <wp:posOffset>340995</wp:posOffset>
            </wp:positionV>
            <wp:extent cx="6800850" cy="1419225"/>
            <wp:effectExtent l="0" t="0" r="0" b="0"/>
            <wp:wrapTight wrapText="bothSides">
              <wp:wrapPolygon edited="0">
                <wp:start x="1694" y="7248"/>
                <wp:lineTo x="968" y="9278"/>
                <wp:lineTo x="847" y="9858"/>
                <wp:lineTo x="908" y="17106"/>
                <wp:lineTo x="10709" y="17106"/>
                <wp:lineTo x="10891" y="15366"/>
                <wp:lineTo x="9923" y="14787"/>
                <wp:lineTo x="3872" y="12467"/>
                <wp:lineTo x="3993" y="10148"/>
                <wp:lineTo x="3630" y="9278"/>
                <wp:lineTo x="2299" y="7248"/>
                <wp:lineTo x="1694" y="7248"/>
              </wp:wrapPolygon>
            </wp:wrapTight>
            <wp:docPr id="2" name="Picture 2" descr="hbor_memo_HRV_ENG_novo_24_04-2_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bor_memo_HRV_ENG_novo_24_04-2_header_E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FC768" w14:textId="77777777" w:rsidR="00EC2777" w:rsidRDefault="00EC2777">
      <w:pPr>
        <w:rPr>
          <w:rFonts w:eastAsia="Times New Roman" w:cs="Calibri"/>
          <w:b/>
          <w:spacing w:val="-3"/>
          <w:sz w:val="24"/>
          <w:szCs w:val="24"/>
          <w:u w:val="single"/>
          <w:lang w:val="en-GB" w:eastAsia="hr-HR"/>
        </w:rPr>
      </w:pPr>
    </w:p>
    <w:p w14:paraId="7D68AE86" w14:textId="77777777" w:rsidR="00EC2777" w:rsidRDefault="00EC2777">
      <w:pPr>
        <w:rPr>
          <w:rFonts w:eastAsia="Times New Roman" w:cs="Calibri"/>
          <w:b/>
          <w:spacing w:val="-3"/>
          <w:sz w:val="24"/>
          <w:szCs w:val="24"/>
          <w:u w:val="single"/>
          <w:lang w:val="en-GB" w:eastAsia="hr-HR"/>
        </w:rPr>
      </w:pPr>
    </w:p>
    <w:p w14:paraId="50D9143C" w14:textId="77777777" w:rsidR="00EC2777" w:rsidRDefault="00EC2777">
      <w:pPr>
        <w:rPr>
          <w:rFonts w:eastAsia="Times New Roman" w:cs="Calibri"/>
          <w:b/>
          <w:spacing w:val="-3"/>
          <w:sz w:val="24"/>
          <w:szCs w:val="24"/>
          <w:u w:val="single"/>
          <w:lang w:val="en-GB" w:eastAsia="hr-HR"/>
        </w:rPr>
      </w:pPr>
    </w:p>
    <w:p w14:paraId="5DB3E589" w14:textId="77777777" w:rsidR="00EC2777" w:rsidRDefault="00EC2777">
      <w:pPr>
        <w:rPr>
          <w:rFonts w:eastAsia="Times New Roman" w:cs="Calibri"/>
          <w:b/>
          <w:spacing w:val="-3"/>
          <w:sz w:val="24"/>
          <w:szCs w:val="24"/>
          <w:u w:val="single"/>
          <w:lang w:val="en-GB" w:eastAsia="hr-HR"/>
        </w:rPr>
      </w:pPr>
    </w:p>
    <w:p w14:paraId="2AB1DD0C" w14:textId="77777777" w:rsidR="00EC2777" w:rsidRDefault="00EC2777">
      <w:pPr>
        <w:rPr>
          <w:rFonts w:eastAsia="Times New Roman" w:cs="Calibri"/>
          <w:b/>
          <w:spacing w:val="-3"/>
          <w:sz w:val="24"/>
          <w:szCs w:val="24"/>
          <w:u w:val="single"/>
          <w:lang w:val="en-GB" w:eastAsia="hr-HR"/>
        </w:rPr>
      </w:pPr>
    </w:p>
    <w:p w14:paraId="54CEC9B7" w14:textId="3FF1B7FD" w:rsidR="00EC2777" w:rsidRPr="007E308E" w:rsidRDefault="00EC2777">
      <w:pPr>
        <w:rPr>
          <w:rFonts w:ascii="Arial" w:eastAsia="Times New Roman" w:hAnsi="Arial" w:cs="Arial"/>
          <w:b/>
          <w:spacing w:val="-3"/>
          <w:sz w:val="24"/>
          <w:szCs w:val="24"/>
          <w:lang w:val="en-GB" w:eastAsia="hr-HR"/>
        </w:rPr>
      </w:pPr>
      <w:r w:rsidRPr="007E308E">
        <w:rPr>
          <w:rFonts w:ascii="Arial" w:eastAsia="Times New Roman" w:hAnsi="Arial" w:cs="Arial"/>
          <w:b/>
          <w:spacing w:val="-3"/>
          <w:sz w:val="24"/>
          <w:szCs w:val="24"/>
          <w:lang w:val="en-GB" w:eastAsia="hr-HR"/>
        </w:rPr>
        <w:t>STATEMENT OF PERSONS RESPONSIBLE FOR THE PREPARATION OF SEMI-ANNUAL REPORT</w:t>
      </w:r>
    </w:p>
    <w:p w14:paraId="364F0E32" w14:textId="45EE752E" w:rsidR="00EC2777" w:rsidRPr="007E308E" w:rsidRDefault="00EC2777" w:rsidP="00431B44">
      <w:pPr>
        <w:spacing w:after="0" w:line="240" w:lineRule="auto"/>
        <w:jc w:val="both"/>
        <w:rPr>
          <w:rFonts w:ascii="Arial" w:eastAsia="Times New Roman" w:hAnsi="Arial" w:cs="Arial"/>
          <w:bCs/>
          <w:spacing w:val="-3"/>
          <w:sz w:val="20"/>
          <w:szCs w:val="20"/>
          <w:lang w:val="en-GB" w:eastAsia="hr-HR"/>
        </w:rPr>
      </w:pPr>
      <w:r w:rsidRPr="007E308E">
        <w:rPr>
          <w:rFonts w:ascii="Arial" w:eastAsia="Times New Roman" w:hAnsi="Arial" w:cs="Arial"/>
          <w:bCs/>
          <w:spacing w:val="-3"/>
          <w:sz w:val="20"/>
          <w:szCs w:val="20"/>
          <w:lang w:val="en-GB" w:eastAsia="hr-HR"/>
        </w:rPr>
        <w:t>To the best of our knowledge the management report for the period 1 January – 30 June 202</w:t>
      </w:r>
      <w:r w:rsidR="004C1D76">
        <w:rPr>
          <w:rFonts w:ascii="Arial" w:eastAsia="Times New Roman" w:hAnsi="Arial" w:cs="Arial"/>
          <w:bCs/>
          <w:spacing w:val="-3"/>
          <w:sz w:val="20"/>
          <w:szCs w:val="20"/>
          <w:lang w:val="en-GB" w:eastAsia="hr-HR"/>
        </w:rPr>
        <w:t>5</w:t>
      </w:r>
      <w:r w:rsidRPr="007E308E">
        <w:rPr>
          <w:rFonts w:ascii="Arial" w:eastAsia="Times New Roman" w:hAnsi="Arial" w:cs="Arial"/>
          <w:bCs/>
          <w:spacing w:val="-3"/>
          <w:sz w:val="20"/>
          <w:szCs w:val="20"/>
          <w:lang w:val="en-GB" w:eastAsia="hr-HR"/>
        </w:rPr>
        <w:t xml:space="preserve"> contains a truthful development of events and business results as well as the position of the Croatian Bank for Reconstruction and Development and the Group, and the description of the most significant risks and contingencies the Croatian Bank for Reconstruction and Development and the Group are exposed to.</w:t>
      </w:r>
    </w:p>
    <w:p w14:paraId="13D7A3B5" w14:textId="52B0019D" w:rsidR="00EC2777" w:rsidRPr="007E308E" w:rsidRDefault="00EC2777">
      <w:pPr>
        <w:rPr>
          <w:rFonts w:ascii="Arial" w:eastAsia="Times New Roman" w:hAnsi="Arial" w:cs="Arial"/>
          <w:bCs/>
          <w:spacing w:val="-3"/>
          <w:sz w:val="20"/>
          <w:szCs w:val="20"/>
          <w:lang w:val="en-GB" w:eastAsia="hr-HR"/>
        </w:rPr>
      </w:pPr>
    </w:p>
    <w:p w14:paraId="453AB9FA" w14:textId="143B4537" w:rsidR="00EC2777" w:rsidRPr="007E308E" w:rsidRDefault="00EC2777">
      <w:pPr>
        <w:rPr>
          <w:rFonts w:ascii="Arial" w:eastAsia="Times New Roman" w:hAnsi="Arial" w:cs="Arial"/>
          <w:bCs/>
          <w:spacing w:val="-3"/>
          <w:sz w:val="20"/>
          <w:szCs w:val="20"/>
          <w:lang w:val="en-GB" w:eastAsia="hr-HR"/>
        </w:rPr>
      </w:pPr>
      <w:r w:rsidRPr="007E308E">
        <w:rPr>
          <w:rFonts w:ascii="Arial" w:eastAsia="Times New Roman" w:hAnsi="Arial" w:cs="Arial"/>
          <w:bCs/>
          <w:spacing w:val="-3"/>
          <w:sz w:val="20"/>
          <w:szCs w:val="20"/>
          <w:lang w:val="en-GB" w:eastAsia="hr-HR"/>
        </w:rPr>
        <w:tab/>
      </w:r>
      <w:r w:rsidRPr="007E308E">
        <w:rPr>
          <w:rFonts w:ascii="Arial" w:eastAsia="Times New Roman" w:hAnsi="Arial" w:cs="Arial"/>
          <w:bCs/>
          <w:spacing w:val="-3"/>
          <w:sz w:val="20"/>
          <w:szCs w:val="20"/>
          <w:lang w:val="en-GB" w:eastAsia="hr-HR"/>
        </w:rPr>
        <w:tab/>
      </w:r>
      <w:r w:rsidRPr="007E308E">
        <w:rPr>
          <w:rFonts w:ascii="Arial" w:eastAsia="Times New Roman" w:hAnsi="Arial" w:cs="Arial"/>
          <w:bCs/>
          <w:spacing w:val="-3"/>
          <w:sz w:val="20"/>
          <w:szCs w:val="20"/>
          <w:lang w:val="en-GB" w:eastAsia="hr-HR"/>
        </w:rPr>
        <w:tab/>
      </w:r>
    </w:p>
    <w:p w14:paraId="363DBAF5" w14:textId="793A0684" w:rsidR="00EC2777" w:rsidRDefault="00EC2777">
      <w:pPr>
        <w:rPr>
          <w:rFonts w:eastAsia="Times New Roman" w:cs="Calibri"/>
          <w:bCs/>
          <w:spacing w:val="-3"/>
          <w:sz w:val="24"/>
          <w:szCs w:val="24"/>
          <w:lang w:val="en-GB" w:eastAsia="hr-HR"/>
        </w:rPr>
      </w:pPr>
    </w:p>
    <w:tbl>
      <w:tblPr>
        <w:tblW w:w="9354" w:type="dxa"/>
        <w:tblLook w:val="04A0" w:firstRow="1" w:lastRow="0" w:firstColumn="1" w:lastColumn="0" w:noHBand="0" w:noVBand="1"/>
      </w:tblPr>
      <w:tblGrid>
        <w:gridCol w:w="3118"/>
        <w:gridCol w:w="3118"/>
        <w:gridCol w:w="3118"/>
      </w:tblGrid>
      <w:tr w:rsidR="007430CA" w:rsidRPr="007E308E" w14:paraId="3E249D30" w14:textId="77777777" w:rsidTr="007430CA">
        <w:trPr>
          <w:trHeight w:hRule="exact" w:val="668"/>
        </w:trPr>
        <w:tc>
          <w:tcPr>
            <w:tcW w:w="3118" w:type="dxa"/>
          </w:tcPr>
          <w:p w14:paraId="549EF397" w14:textId="430EB5FE" w:rsidR="007430CA" w:rsidRPr="007E308E" w:rsidRDefault="007430CA" w:rsidP="007430CA">
            <w:pPr>
              <w:jc w:val="center"/>
              <w:rPr>
                <w:rFonts w:ascii="Arial" w:hAnsi="Arial" w:cs="Arial"/>
                <w:color w:val="000000" w:themeColor="text1"/>
                <w:sz w:val="20"/>
                <w:szCs w:val="20"/>
              </w:rPr>
            </w:pPr>
            <w:r w:rsidRPr="007E308E">
              <w:rPr>
                <w:rFonts w:ascii="Arial" w:eastAsia="Times New Roman" w:hAnsi="Arial" w:cs="Arial"/>
                <w:bCs/>
                <w:spacing w:val="-3"/>
                <w:sz w:val="20"/>
                <w:szCs w:val="20"/>
                <w:lang w:val="en-GB" w:eastAsia="hr-HR"/>
              </w:rPr>
              <w:t>President of the Management Board</w:t>
            </w:r>
          </w:p>
        </w:tc>
        <w:tc>
          <w:tcPr>
            <w:tcW w:w="3118" w:type="dxa"/>
          </w:tcPr>
          <w:p w14:paraId="70F3B9D3" w14:textId="37A8B0DC" w:rsidR="007430CA" w:rsidRPr="007E308E" w:rsidRDefault="007430CA" w:rsidP="007430CA">
            <w:pPr>
              <w:jc w:val="center"/>
              <w:rPr>
                <w:rFonts w:ascii="Arial" w:hAnsi="Arial" w:cs="Arial"/>
                <w:color w:val="000000" w:themeColor="text1"/>
                <w:sz w:val="20"/>
                <w:szCs w:val="20"/>
              </w:rPr>
            </w:pPr>
            <w:r w:rsidRPr="007E308E">
              <w:rPr>
                <w:rFonts w:ascii="Arial" w:eastAsia="Times New Roman" w:hAnsi="Arial" w:cs="Arial"/>
                <w:bCs/>
                <w:spacing w:val="-3"/>
                <w:sz w:val="20"/>
                <w:szCs w:val="20"/>
                <w:lang w:val="en-GB" w:eastAsia="hr-HR"/>
              </w:rPr>
              <w:t>Member of the Management Board</w:t>
            </w:r>
            <w:r w:rsidRPr="007E308E">
              <w:rPr>
                <w:rFonts w:ascii="Arial" w:hAnsi="Arial" w:cs="Arial"/>
                <w:b/>
                <w:color w:val="000000" w:themeColor="text1"/>
                <w:sz w:val="20"/>
                <w:szCs w:val="20"/>
              </w:rPr>
              <w:t xml:space="preserve"> </w:t>
            </w:r>
          </w:p>
        </w:tc>
        <w:tc>
          <w:tcPr>
            <w:tcW w:w="3118" w:type="dxa"/>
          </w:tcPr>
          <w:p w14:paraId="512CC8EA" w14:textId="361BC15E" w:rsidR="007430CA" w:rsidRPr="007E308E" w:rsidRDefault="007430CA" w:rsidP="007430CA">
            <w:pPr>
              <w:jc w:val="center"/>
              <w:rPr>
                <w:rFonts w:ascii="Arial" w:hAnsi="Arial" w:cs="Arial"/>
                <w:color w:val="000000" w:themeColor="text1"/>
                <w:sz w:val="20"/>
                <w:szCs w:val="20"/>
              </w:rPr>
            </w:pPr>
            <w:r w:rsidRPr="007E308E">
              <w:rPr>
                <w:rFonts w:ascii="Arial" w:eastAsia="Times New Roman" w:hAnsi="Arial" w:cs="Arial"/>
                <w:bCs/>
                <w:spacing w:val="-3"/>
                <w:sz w:val="20"/>
                <w:szCs w:val="20"/>
                <w:lang w:val="en-GB" w:eastAsia="hr-HR"/>
              </w:rPr>
              <w:t>Member of the Management Board</w:t>
            </w:r>
            <w:r w:rsidRPr="007E308E">
              <w:rPr>
                <w:rFonts w:ascii="Arial" w:hAnsi="Arial" w:cs="Arial"/>
                <w:b/>
                <w:color w:val="000000" w:themeColor="text1"/>
                <w:sz w:val="20"/>
                <w:szCs w:val="20"/>
              </w:rPr>
              <w:t xml:space="preserve"> </w:t>
            </w:r>
          </w:p>
        </w:tc>
      </w:tr>
      <w:tr w:rsidR="00D33F93" w:rsidRPr="007E308E" w14:paraId="557716FF" w14:textId="77777777" w:rsidTr="00CE3A9A">
        <w:trPr>
          <w:trHeight w:hRule="exact" w:val="837"/>
        </w:trPr>
        <w:tc>
          <w:tcPr>
            <w:tcW w:w="3118" w:type="dxa"/>
          </w:tcPr>
          <w:p w14:paraId="459999C8" w14:textId="77777777" w:rsidR="00D33F93" w:rsidRPr="007E308E" w:rsidRDefault="00D33F93" w:rsidP="00CE3A9A">
            <w:pPr>
              <w:jc w:val="center"/>
              <w:rPr>
                <w:rFonts w:ascii="Arial" w:hAnsi="Arial" w:cs="Arial"/>
                <w:color w:val="000000" w:themeColor="text1"/>
                <w:sz w:val="20"/>
                <w:szCs w:val="20"/>
              </w:rPr>
            </w:pPr>
          </w:p>
        </w:tc>
        <w:tc>
          <w:tcPr>
            <w:tcW w:w="3118" w:type="dxa"/>
          </w:tcPr>
          <w:p w14:paraId="30AD54FD" w14:textId="77777777" w:rsidR="00D33F93" w:rsidRPr="007E308E" w:rsidRDefault="00D33F93" w:rsidP="00CE3A9A">
            <w:pPr>
              <w:jc w:val="center"/>
              <w:rPr>
                <w:rFonts w:ascii="Arial" w:hAnsi="Arial" w:cs="Arial"/>
                <w:color w:val="000000" w:themeColor="text1"/>
                <w:sz w:val="20"/>
                <w:szCs w:val="20"/>
              </w:rPr>
            </w:pPr>
          </w:p>
        </w:tc>
        <w:tc>
          <w:tcPr>
            <w:tcW w:w="3118" w:type="dxa"/>
          </w:tcPr>
          <w:p w14:paraId="04A244C2" w14:textId="77777777" w:rsidR="00D33F93" w:rsidRPr="007E308E" w:rsidRDefault="00D33F93" w:rsidP="00CE3A9A">
            <w:pPr>
              <w:jc w:val="center"/>
              <w:rPr>
                <w:rFonts w:ascii="Arial" w:hAnsi="Arial" w:cs="Arial"/>
                <w:color w:val="000000" w:themeColor="text1"/>
                <w:sz w:val="20"/>
                <w:szCs w:val="20"/>
              </w:rPr>
            </w:pPr>
          </w:p>
          <w:p w14:paraId="60346798" w14:textId="77777777" w:rsidR="00D33F93" w:rsidRPr="007E308E" w:rsidRDefault="00D33F93" w:rsidP="00CE3A9A">
            <w:pPr>
              <w:jc w:val="center"/>
              <w:rPr>
                <w:rFonts w:ascii="Arial" w:hAnsi="Arial" w:cs="Arial"/>
                <w:color w:val="000000" w:themeColor="text1"/>
                <w:sz w:val="20"/>
                <w:szCs w:val="20"/>
              </w:rPr>
            </w:pPr>
          </w:p>
        </w:tc>
      </w:tr>
      <w:tr w:rsidR="00D33F93" w:rsidRPr="007E308E" w14:paraId="057A03D3" w14:textId="77777777" w:rsidTr="00CE3A9A">
        <w:trPr>
          <w:trHeight w:val="269"/>
        </w:trPr>
        <w:tc>
          <w:tcPr>
            <w:tcW w:w="3118" w:type="dxa"/>
            <w:vAlign w:val="bottom"/>
          </w:tcPr>
          <w:p w14:paraId="54BA1A3D" w14:textId="1B12FD90" w:rsidR="00D33F93" w:rsidRPr="007E308E" w:rsidRDefault="007430CA" w:rsidP="00CE3A9A">
            <w:pPr>
              <w:jc w:val="center"/>
              <w:rPr>
                <w:rFonts w:ascii="Arial" w:hAnsi="Arial" w:cs="Arial"/>
                <w:color w:val="000000" w:themeColor="text1"/>
                <w:sz w:val="20"/>
                <w:szCs w:val="20"/>
              </w:rPr>
            </w:pPr>
            <w:r w:rsidRPr="007E308E">
              <w:rPr>
                <w:rFonts w:ascii="Arial" w:eastAsia="Times New Roman" w:hAnsi="Arial" w:cs="Arial"/>
                <w:bCs/>
                <w:spacing w:val="-3"/>
                <w:sz w:val="20"/>
                <w:szCs w:val="20"/>
                <w:lang w:val="en-GB" w:eastAsia="hr-HR"/>
              </w:rPr>
              <w:t>Hrvoje Čuvalo, MSc</w:t>
            </w:r>
          </w:p>
        </w:tc>
        <w:tc>
          <w:tcPr>
            <w:tcW w:w="3118" w:type="dxa"/>
            <w:vAlign w:val="bottom"/>
          </w:tcPr>
          <w:p w14:paraId="028D7BB1" w14:textId="5F43289E" w:rsidR="00D33F93" w:rsidRPr="007E308E" w:rsidRDefault="00D33F93" w:rsidP="00CE3A9A">
            <w:pPr>
              <w:jc w:val="center"/>
              <w:rPr>
                <w:rFonts w:ascii="Arial" w:hAnsi="Arial" w:cs="Arial"/>
                <w:color w:val="000000" w:themeColor="text1"/>
                <w:sz w:val="20"/>
                <w:szCs w:val="20"/>
              </w:rPr>
            </w:pPr>
            <w:r w:rsidRPr="007E308E">
              <w:rPr>
                <w:rFonts w:ascii="Arial" w:hAnsi="Arial" w:cs="Arial"/>
                <w:color w:val="000000" w:themeColor="text1"/>
                <w:sz w:val="20"/>
                <w:szCs w:val="20"/>
              </w:rPr>
              <w:t>Alan Herjavec</w:t>
            </w:r>
            <w:r w:rsidR="007F7330" w:rsidRPr="007E308E">
              <w:rPr>
                <w:rFonts w:ascii="Arial" w:hAnsi="Arial" w:cs="Arial"/>
                <w:color w:val="000000" w:themeColor="text1"/>
                <w:sz w:val="20"/>
                <w:szCs w:val="20"/>
              </w:rPr>
              <w:t>, MSc</w:t>
            </w:r>
          </w:p>
        </w:tc>
        <w:tc>
          <w:tcPr>
            <w:tcW w:w="3118" w:type="dxa"/>
            <w:vAlign w:val="bottom"/>
          </w:tcPr>
          <w:p w14:paraId="08CEED80" w14:textId="3A46AC1E" w:rsidR="00D33F93" w:rsidRPr="007E308E" w:rsidRDefault="007F7330" w:rsidP="00CE3A9A">
            <w:pPr>
              <w:jc w:val="center"/>
              <w:rPr>
                <w:rFonts w:ascii="Arial" w:hAnsi="Arial" w:cs="Arial"/>
                <w:color w:val="000000" w:themeColor="text1"/>
                <w:sz w:val="20"/>
                <w:szCs w:val="20"/>
              </w:rPr>
            </w:pPr>
            <w:r w:rsidRPr="007E308E">
              <w:rPr>
                <w:rFonts w:ascii="Arial" w:hAnsi="Arial" w:cs="Arial"/>
                <w:color w:val="000000" w:themeColor="text1"/>
                <w:sz w:val="20"/>
                <w:szCs w:val="20"/>
              </w:rPr>
              <w:t>Josip Pavković</w:t>
            </w:r>
          </w:p>
        </w:tc>
      </w:tr>
    </w:tbl>
    <w:p w14:paraId="4218FB07" w14:textId="536305CC" w:rsidR="00EC2777" w:rsidRDefault="00EC2777">
      <w:pPr>
        <w:rPr>
          <w:rFonts w:eastAsia="Times New Roman" w:cs="Calibri"/>
          <w:bCs/>
          <w:spacing w:val="-3"/>
          <w:sz w:val="24"/>
          <w:szCs w:val="24"/>
          <w:lang w:val="en-GB" w:eastAsia="hr-HR"/>
        </w:rPr>
      </w:pPr>
    </w:p>
    <w:p w14:paraId="18E23D2D" w14:textId="64CB418D" w:rsidR="00EC2777" w:rsidRDefault="00EC2777">
      <w:pPr>
        <w:rPr>
          <w:rFonts w:eastAsia="Times New Roman" w:cs="Calibri"/>
          <w:bCs/>
          <w:spacing w:val="-3"/>
          <w:sz w:val="24"/>
          <w:szCs w:val="24"/>
          <w:lang w:val="en-GB" w:eastAsia="hr-HR"/>
        </w:rPr>
      </w:pPr>
      <w:r>
        <w:rPr>
          <w:rFonts w:eastAsia="Times New Roman" w:cs="Calibri"/>
          <w:bCs/>
          <w:spacing w:val="-3"/>
          <w:sz w:val="24"/>
          <w:szCs w:val="24"/>
          <w:lang w:val="en-GB" w:eastAsia="hr-HR"/>
        </w:rPr>
        <w:t xml:space="preserve">           </w:t>
      </w:r>
    </w:p>
    <w:p w14:paraId="0CE2F86A" w14:textId="7A60BF97" w:rsidR="00EC2777" w:rsidRDefault="00EC2777">
      <w:pPr>
        <w:rPr>
          <w:rFonts w:eastAsia="Times New Roman" w:cs="Calibri"/>
          <w:bCs/>
          <w:spacing w:val="-3"/>
          <w:sz w:val="24"/>
          <w:szCs w:val="24"/>
          <w:lang w:val="en-GB" w:eastAsia="hr-HR"/>
        </w:rPr>
      </w:pPr>
    </w:p>
    <w:p w14:paraId="6CA2EFD3" w14:textId="4BFB76E4" w:rsidR="00EC2777" w:rsidRPr="0072395D" w:rsidRDefault="00EC2777">
      <w:pPr>
        <w:rPr>
          <w:rFonts w:ascii="Arial" w:eastAsia="Times New Roman" w:hAnsi="Arial" w:cs="Arial"/>
          <w:bCs/>
          <w:spacing w:val="-3"/>
          <w:sz w:val="20"/>
          <w:szCs w:val="20"/>
          <w:lang w:val="en-GB" w:eastAsia="hr-HR"/>
        </w:rPr>
      </w:pPr>
      <w:r w:rsidRPr="0072395D">
        <w:rPr>
          <w:rFonts w:ascii="Arial" w:eastAsia="Times New Roman" w:hAnsi="Arial" w:cs="Arial"/>
          <w:bCs/>
          <w:spacing w:val="-3"/>
          <w:sz w:val="20"/>
          <w:szCs w:val="20"/>
          <w:lang w:val="en-GB" w:eastAsia="hr-HR"/>
        </w:rPr>
        <w:t xml:space="preserve">Zagreb, </w:t>
      </w:r>
      <w:r w:rsidR="0045716F">
        <w:rPr>
          <w:rFonts w:ascii="Arial" w:eastAsia="Times New Roman" w:hAnsi="Arial" w:cs="Arial"/>
          <w:bCs/>
          <w:spacing w:val="-3"/>
          <w:sz w:val="20"/>
          <w:szCs w:val="20"/>
          <w:lang w:val="en-GB" w:eastAsia="hr-HR"/>
        </w:rPr>
        <w:t>21</w:t>
      </w:r>
      <w:r w:rsidR="00EB2561" w:rsidRPr="0072395D">
        <w:rPr>
          <w:rFonts w:ascii="Arial" w:eastAsia="Times New Roman" w:hAnsi="Arial" w:cs="Arial"/>
          <w:bCs/>
          <w:spacing w:val="-3"/>
          <w:sz w:val="20"/>
          <w:szCs w:val="20"/>
          <w:lang w:val="en-GB" w:eastAsia="hr-HR"/>
        </w:rPr>
        <w:t xml:space="preserve"> </w:t>
      </w:r>
      <w:r w:rsidR="00330EEC" w:rsidRPr="0072395D">
        <w:rPr>
          <w:rFonts w:ascii="Arial" w:eastAsia="Times New Roman" w:hAnsi="Arial" w:cs="Arial"/>
          <w:bCs/>
          <w:spacing w:val="-3"/>
          <w:sz w:val="20"/>
          <w:szCs w:val="20"/>
          <w:lang w:val="en-GB" w:eastAsia="hr-HR"/>
        </w:rPr>
        <w:t>August</w:t>
      </w:r>
      <w:r w:rsidRPr="0072395D">
        <w:rPr>
          <w:rFonts w:ascii="Arial" w:eastAsia="Times New Roman" w:hAnsi="Arial" w:cs="Arial"/>
          <w:bCs/>
          <w:spacing w:val="-3"/>
          <w:sz w:val="20"/>
          <w:szCs w:val="20"/>
          <w:lang w:val="en-GB" w:eastAsia="hr-HR"/>
        </w:rPr>
        <w:t xml:space="preserve"> 202</w:t>
      </w:r>
      <w:r w:rsidR="004C1D76">
        <w:rPr>
          <w:rFonts w:ascii="Arial" w:eastAsia="Times New Roman" w:hAnsi="Arial" w:cs="Arial"/>
          <w:bCs/>
          <w:spacing w:val="-3"/>
          <w:sz w:val="20"/>
          <w:szCs w:val="20"/>
          <w:lang w:val="en-GB" w:eastAsia="hr-HR"/>
        </w:rPr>
        <w:t>5</w:t>
      </w:r>
    </w:p>
    <w:p w14:paraId="2D467EC9" w14:textId="77777777" w:rsidR="00EC2777" w:rsidRDefault="00EC2777">
      <w:pPr>
        <w:rPr>
          <w:rFonts w:eastAsia="Times New Roman" w:cs="Calibri"/>
          <w:b/>
          <w:spacing w:val="-3"/>
          <w:sz w:val="24"/>
          <w:szCs w:val="24"/>
          <w:u w:val="single"/>
          <w:lang w:val="en-GB" w:eastAsia="hr-HR"/>
        </w:rPr>
      </w:pPr>
    </w:p>
    <w:p w14:paraId="73F8CF97" w14:textId="77777777" w:rsidR="00EC2777" w:rsidRDefault="00EC2777">
      <w:pPr>
        <w:rPr>
          <w:rFonts w:eastAsia="Times New Roman" w:cs="Calibri"/>
          <w:b/>
          <w:spacing w:val="-3"/>
          <w:sz w:val="24"/>
          <w:szCs w:val="24"/>
          <w:u w:val="single"/>
          <w:lang w:val="en-GB" w:eastAsia="hr-HR"/>
        </w:rPr>
      </w:pPr>
    </w:p>
    <w:p w14:paraId="2AD946DC" w14:textId="77777777" w:rsidR="00EC2777" w:rsidRDefault="00EC2777">
      <w:pPr>
        <w:rPr>
          <w:rFonts w:eastAsia="Times New Roman" w:cs="Calibri"/>
          <w:b/>
          <w:spacing w:val="-3"/>
          <w:sz w:val="24"/>
          <w:szCs w:val="24"/>
          <w:u w:val="single"/>
          <w:lang w:val="en-GB" w:eastAsia="hr-HR"/>
        </w:rPr>
      </w:pPr>
    </w:p>
    <w:p w14:paraId="0CB988EF" w14:textId="77777777" w:rsidR="00EC2777" w:rsidRDefault="00EC2777">
      <w:pPr>
        <w:rPr>
          <w:rFonts w:eastAsia="Times New Roman" w:cs="Calibri"/>
          <w:b/>
          <w:spacing w:val="-3"/>
          <w:sz w:val="24"/>
          <w:szCs w:val="24"/>
          <w:u w:val="single"/>
          <w:lang w:val="en-GB" w:eastAsia="hr-HR"/>
        </w:rPr>
      </w:pPr>
    </w:p>
    <w:p w14:paraId="1D0B272B" w14:textId="77777777" w:rsidR="00EC2777" w:rsidRDefault="00EC2777">
      <w:pPr>
        <w:rPr>
          <w:rFonts w:eastAsia="Times New Roman" w:cs="Calibri"/>
          <w:b/>
          <w:spacing w:val="-3"/>
          <w:sz w:val="24"/>
          <w:szCs w:val="24"/>
          <w:u w:val="single"/>
          <w:lang w:val="en-GB" w:eastAsia="hr-HR"/>
        </w:rPr>
      </w:pPr>
    </w:p>
    <w:p w14:paraId="15A84FEE" w14:textId="44C6E34F" w:rsidR="00EC2777" w:rsidRDefault="00EC2777">
      <w:pPr>
        <w:rPr>
          <w:rFonts w:eastAsia="Times New Roman" w:cs="Calibri"/>
          <w:b/>
          <w:spacing w:val="-3"/>
          <w:sz w:val="24"/>
          <w:szCs w:val="24"/>
          <w:u w:val="single"/>
          <w:lang w:val="en-GB" w:eastAsia="hr-HR"/>
        </w:rPr>
        <w:sectPr w:rsidR="00EC2777" w:rsidSect="00C23C95">
          <w:footerReference w:type="first" r:id="rId10"/>
          <w:pgSz w:w="11906" w:h="16838" w:code="9"/>
          <w:pgMar w:top="863" w:right="1133" w:bottom="1417" w:left="1417" w:header="709" w:footer="709" w:gutter="0"/>
          <w:cols w:space="708"/>
          <w:titlePg/>
          <w:docGrid w:linePitch="360"/>
        </w:sectPr>
      </w:pPr>
    </w:p>
    <w:p w14:paraId="07CD6F9D" w14:textId="756DF04A" w:rsidR="001D2396" w:rsidRPr="00041197" w:rsidRDefault="001D2396">
      <w:pPr>
        <w:rPr>
          <w:rFonts w:eastAsia="Times New Roman" w:cs="Calibri"/>
          <w:b/>
          <w:spacing w:val="-3"/>
          <w:sz w:val="24"/>
          <w:szCs w:val="24"/>
          <w:u w:val="single"/>
          <w:lang w:val="en-GB" w:eastAsia="hr-HR"/>
        </w:rPr>
      </w:pPr>
    </w:p>
    <w:p w14:paraId="6F3F9DB1"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7691905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495AB84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85BC2C6"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34BF701"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44FA960"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F216A57"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7BC3BD8"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B50884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619C7D1A" w14:textId="0193525B" w:rsidR="001D2396"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r w:rsidRPr="00AE78E3">
        <w:rPr>
          <w:rFonts w:ascii="Arial" w:eastAsia="Times New Roman" w:hAnsi="Arial" w:cs="Arial"/>
          <w:b/>
          <w:sz w:val="28"/>
          <w:szCs w:val="28"/>
          <w:lang w:val="en-GB"/>
        </w:rPr>
        <w:t>MANAGEMENT REPORT FOR THE PERIOD</w:t>
      </w:r>
    </w:p>
    <w:p w14:paraId="0BCB24CF" w14:textId="0B4FD213"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p>
    <w:p w14:paraId="103ADCB6" w14:textId="6299A4B9"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r w:rsidRPr="00AE78E3">
        <w:rPr>
          <w:rFonts w:ascii="Arial" w:eastAsia="Times New Roman" w:hAnsi="Arial" w:cs="Arial"/>
          <w:b/>
          <w:sz w:val="28"/>
          <w:szCs w:val="28"/>
          <w:lang w:val="en-GB"/>
        </w:rPr>
        <w:t>1 JANUARY – 30 JUNE 202</w:t>
      </w:r>
      <w:r w:rsidR="00A12F48">
        <w:rPr>
          <w:rFonts w:ascii="Arial" w:eastAsia="Times New Roman" w:hAnsi="Arial" w:cs="Arial"/>
          <w:b/>
          <w:sz w:val="28"/>
          <w:szCs w:val="28"/>
          <w:lang w:val="en-GB"/>
        </w:rPr>
        <w:t>5</w:t>
      </w:r>
    </w:p>
    <w:p w14:paraId="2D28575A" w14:textId="7FABE2EB"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p>
    <w:p w14:paraId="002D5FAA" w14:textId="67BBADD5"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p>
    <w:p w14:paraId="2608C39C" w14:textId="394509DE"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z w:val="28"/>
          <w:szCs w:val="28"/>
          <w:lang w:val="en-GB"/>
        </w:rPr>
      </w:pPr>
    </w:p>
    <w:p w14:paraId="28986D74" w14:textId="4BC4FB5F" w:rsidR="00431B44" w:rsidRPr="00AE78E3" w:rsidRDefault="00431B44" w:rsidP="001D2396">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AE78E3">
        <w:rPr>
          <w:rFonts w:ascii="Arial" w:eastAsia="Times New Roman" w:hAnsi="Arial" w:cs="Arial"/>
          <w:b/>
          <w:sz w:val="28"/>
          <w:szCs w:val="28"/>
          <w:lang w:val="en-GB"/>
        </w:rPr>
        <w:t>RESULTS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1"/>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579833B3" w14:textId="77777777" w:rsidR="00D06365" w:rsidRPr="00041197"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14:paraId="0A744C27" w14:textId="77777777" w:rsidR="00EB0E11" w:rsidRPr="00A501B6" w:rsidRDefault="00EB0E11" w:rsidP="00EB0E11">
      <w:pPr>
        <w:tabs>
          <w:tab w:val="left" w:pos="-720"/>
          <w:tab w:val="left" w:pos="426"/>
        </w:tabs>
        <w:suppressAutoHyphens/>
        <w:spacing w:after="0" w:line="240" w:lineRule="auto"/>
        <w:jc w:val="center"/>
        <w:rPr>
          <w:rFonts w:ascii="Arial" w:eastAsia="Times New Roman" w:hAnsi="Arial" w:cs="Arial"/>
          <w:b/>
          <w:caps/>
          <w:spacing w:val="-3"/>
          <w:sz w:val="20"/>
          <w:szCs w:val="20"/>
          <w:lang w:val="en-GB" w:eastAsia="hr-HR"/>
        </w:rPr>
      </w:pPr>
      <w:r w:rsidRPr="00A501B6">
        <w:rPr>
          <w:rFonts w:ascii="Arial" w:eastAsia="Times New Roman" w:hAnsi="Arial" w:cs="Arial"/>
          <w:b/>
          <w:caps/>
          <w:spacing w:val="-3"/>
          <w:sz w:val="20"/>
          <w:szCs w:val="20"/>
          <w:lang w:val="en-GB" w:eastAsia="hr-HR"/>
        </w:rPr>
        <w:t>BREAKDOWN OF THE MOST SIGNIFICANT FINANCIAL INFORMATION OF hbor GROUP</w:t>
      </w:r>
    </w:p>
    <w:tbl>
      <w:tblPr>
        <w:tblW w:w="8601" w:type="dxa"/>
        <w:jc w:val="center"/>
        <w:tblLayout w:type="fixed"/>
        <w:tblCellMar>
          <w:left w:w="10" w:type="dxa"/>
          <w:right w:w="10" w:type="dxa"/>
        </w:tblCellMar>
        <w:tblLook w:val="0000" w:firstRow="0" w:lastRow="0" w:firstColumn="0" w:lastColumn="0" w:noHBand="0" w:noVBand="0"/>
      </w:tblPr>
      <w:tblGrid>
        <w:gridCol w:w="3456"/>
        <w:gridCol w:w="1755"/>
        <w:gridCol w:w="1695"/>
        <w:gridCol w:w="1695"/>
      </w:tblGrid>
      <w:tr w:rsidR="00A12F48" w:rsidRPr="00A501B6" w14:paraId="348789B2" w14:textId="3A7DF045" w:rsidTr="00834F2D">
        <w:trPr>
          <w:trHeight w:val="283"/>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789EE336" w14:textId="4264A570" w:rsidR="00A12F48" w:rsidRPr="00A501B6" w:rsidRDefault="00A12F48" w:rsidP="00CE3A9A">
            <w:pPr>
              <w:spacing w:after="0"/>
              <w:rPr>
                <w:rFonts w:ascii="Arial" w:hAnsi="Arial" w:cs="Arial"/>
                <w:color w:val="FFFFFF"/>
                <w:sz w:val="20"/>
                <w:szCs w:val="20"/>
                <w:lang w:val="en-GB" w:eastAsia="hr-HR"/>
              </w:rPr>
            </w:pPr>
            <w:r w:rsidRPr="00A501B6">
              <w:rPr>
                <w:rFonts w:ascii="Arial" w:hAnsi="Arial" w:cs="Arial"/>
                <w:bCs/>
                <w:sz w:val="20"/>
                <w:szCs w:val="20"/>
                <w:lang w:val="en-GB"/>
              </w:rPr>
              <w:t>-</w:t>
            </w:r>
            <w:r>
              <w:rPr>
                <w:rFonts w:ascii="Arial" w:hAnsi="Arial" w:cs="Arial"/>
                <w:bCs/>
                <w:sz w:val="20"/>
                <w:szCs w:val="20"/>
                <w:lang w:val="en-GB"/>
              </w:rPr>
              <w:t xml:space="preserve">in </w:t>
            </w:r>
            <w:r w:rsidRPr="00A501B6">
              <w:rPr>
                <w:rFonts w:ascii="Arial" w:hAnsi="Arial" w:cs="Arial"/>
                <w:bCs/>
                <w:sz w:val="20"/>
                <w:szCs w:val="20"/>
                <w:lang w:val="en-GB"/>
              </w:rPr>
              <w:t>million</w:t>
            </w:r>
            <w:r>
              <w:rPr>
                <w:rFonts w:ascii="Arial" w:hAnsi="Arial" w:cs="Arial"/>
                <w:bCs/>
                <w:sz w:val="20"/>
                <w:szCs w:val="20"/>
                <w:lang w:val="en-GB"/>
              </w:rPr>
              <w:t>s of euros</w:t>
            </w:r>
            <w:r w:rsidRPr="00A501B6">
              <w:rPr>
                <w:rFonts w:ascii="Arial" w:hAnsi="Arial" w:cs="Arial"/>
                <w:bCs/>
                <w:sz w:val="20"/>
                <w:szCs w:val="20"/>
                <w:lang w:val="en-GB"/>
              </w:rPr>
              <w:t>-</w:t>
            </w:r>
            <w:r w:rsidRPr="00A501B6">
              <w:rPr>
                <w:rFonts w:ascii="Arial" w:hAnsi="Arial" w:cs="Arial"/>
                <w:color w:val="FFFFFF"/>
                <w:sz w:val="20"/>
                <w:szCs w:val="20"/>
                <w:lang w:val="en-GB" w:eastAsia="hr-HR"/>
              </w:rPr>
              <w:t> </w:t>
            </w:r>
          </w:p>
        </w:tc>
        <w:tc>
          <w:tcPr>
            <w:tcW w:w="1755" w:type="dxa"/>
            <w:tcBorders>
              <w:top w:val="single" w:sz="4" w:space="0" w:color="auto"/>
              <w:bottom w:val="single" w:sz="4" w:space="0" w:color="auto"/>
            </w:tcBorders>
            <w:shd w:val="clear" w:color="auto" w:fill="7F7F7F"/>
            <w:vAlign w:val="center"/>
          </w:tcPr>
          <w:p w14:paraId="71DEE84F" w14:textId="4DA8D21D" w:rsidR="00A12F48" w:rsidRPr="00A501B6" w:rsidRDefault="00A12F48" w:rsidP="00CE3A9A">
            <w:pPr>
              <w:spacing w:after="0"/>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202</w:t>
            </w:r>
            <w:r>
              <w:rPr>
                <w:rFonts w:ascii="Arial" w:hAnsi="Arial" w:cs="Arial"/>
                <w:b/>
                <w:bCs/>
                <w:color w:val="FFFFFF"/>
                <w:sz w:val="20"/>
                <w:szCs w:val="20"/>
                <w:lang w:val="en-GB" w:eastAsia="hr-HR"/>
              </w:rPr>
              <w:t>3</w:t>
            </w:r>
          </w:p>
        </w:tc>
        <w:tc>
          <w:tcPr>
            <w:tcW w:w="1695" w:type="dxa"/>
            <w:tcBorders>
              <w:top w:val="single" w:sz="4" w:space="0" w:color="auto"/>
              <w:left w:val="nil"/>
              <w:bottom w:val="single" w:sz="4" w:space="0" w:color="auto"/>
            </w:tcBorders>
            <w:shd w:val="clear" w:color="auto" w:fill="7F7F7F"/>
            <w:vAlign w:val="center"/>
          </w:tcPr>
          <w:p w14:paraId="0F8320A1" w14:textId="0E6FB744" w:rsidR="00A12F48" w:rsidRPr="00A501B6" w:rsidRDefault="00A12F48" w:rsidP="00CE3A9A">
            <w:pPr>
              <w:spacing w:after="0"/>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 xml:space="preserve"> 202</w:t>
            </w:r>
            <w:r>
              <w:rPr>
                <w:rFonts w:ascii="Arial" w:hAnsi="Arial" w:cs="Arial"/>
                <w:b/>
                <w:bCs/>
                <w:color w:val="FFFFFF"/>
                <w:sz w:val="20"/>
                <w:szCs w:val="20"/>
                <w:lang w:val="en-GB" w:eastAsia="hr-HR"/>
              </w:rPr>
              <w:t>4</w:t>
            </w:r>
          </w:p>
        </w:tc>
        <w:tc>
          <w:tcPr>
            <w:tcW w:w="1695" w:type="dxa"/>
            <w:tcBorders>
              <w:top w:val="single" w:sz="4" w:space="0" w:color="auto"/>
              <w:left w:val="nil"/>
              <w:bottom w:val="single" w:sz="4" w:space="0" w:color="auto"/>
              <w:right w:val="single" w:sz="4" w:space="0" w:color="auto"/>
            </w:tcBorders>
            <w:shd w:val="clear" w:color="auto" w:fill="7F7F7F"/>
          </w:tcPr>
          <w:p w14:paraId="0C776D0C" w14:textId="0B394363" w:rsidR="00A12F48" w:rsidRPr="00A501B6" w:rsidRDefault="00A12F48" w:rsidP="00CE3A9A">
            <w:pPr>
              <w:spacing w:after="0"/>
              <w:jc w:val="right"/>
              <w:rPr>
                <w:rFonts w:ascii="Arial" w:hAnsi="Arial" w:cs="Arial"/>
                <w:b/>
                <w:bCs/>
                <w:color w:val="FFFFFF"/>
                <w:sz w:val="20"/>
                <w:szCs w:val="20"/>
                <w:lang w:val="en-GB" w:eastAsia="hr-HR"/>
              </w:rPr>
            </w:pPr>
            <w:r>
              <w:rPr>
                <w:rFonts w:ascii="Arial" w:hAnsi="Arial" w:cs="Arial"/>
                <w:b/>
                <w:bCs/>
                <w:color w:val="FFFFFF"/>
                <w:sz w:val="20"/>
                <w:szCs w:val="20"/>
                <w:lang w:val="en-GB" w:eastAsia="hr-HR"/>
              </w:rPr>
              <w:t>30 June 2025</w:t>
            </w:r>
          </w:p>
        </w:tc>
      </w:tr>
      <w:tr w:rsidR="002E20F5" w:rsidRPr="00A501B6" w14:paraId="04A57F8B" w14:textId="2DBA20FB" w:rsidTr="00834F2D">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EBA36E6" w14:textId="77777777" w:rsidR="002E20F5" w:rsidRPr="00A501B6" w:rsidRDefault="002E20F5" w:rsidP="002E20F5">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assets</w:t>
            </w:r>
          </w:p>
        </w:tc>
        <w:tc>
          <w:tcPr>
            <w:tcW w:w="1755" w:type="dxa"/>
            <w:tcBorders>
              <w:top w:val="single" w:sz="4" w:space="0" w:color="auto"/>
              <w:bottom w:val="single" w:sz="4" w:space="0" w:color="auto"/>
            </w:tcBorders>
            <w:vAlign w:val="center"/>
          </w:tcPr>
          <w:p w14:paraId="1473523B" w14:textId="2A2B8E48" w:rsidR="002E20F5" w:rsidRPr="00834F2D" w:rsidRDefault="002E20F5" w:rsidP="002E20F5">
            <w:pPr>
              <w:spacing w:after="0"/>
              <w:jc w:val="right"/>
              <w:rPr>
                <w:rFonts w:ascii="Arial" w:eastAsia="Times New Roman" w:hAnsi="Arial" w:cs="Arial"/>
                <w:sz w:val="20"/>
                <w:szCs w:val="20"/>
                <w:lang w:eastAsia="hr-HR"/>
              </w:rPr>
            </w:pPr>
            <w:r w:rsidRPr="004C3768">
              <w:rPr>
                <w:rFonts w:ascii="Arial" w:eastAsia="Times New Roman" w:hAnsi="Arial" w:cs="Arial"/>
                <w:sz w:val="20"/>
                <w:szCs w:val="20"/>
                <w:lang w:eastAsia="hr-HR"/>
              </w:rPr>
              <w:t>4</w:t>
            </w:r>
            <w:r>
              <w:rPr>
                <w:rFonts w:ascii="Arial" w:eastAsia="Times New Roman" w:hAnsi="Arial" w:cs="Arial"/>
                <w:sz w:val="20"/>
                <w:szCs w:val="20"/>
                <w:lang w:eastAsia="hr-HR"/>
              </w:rPr>
              <w:t>,</w:t>
            </w:r>
            <w:r w:rsidRPr="004C3768">
              <w:rPr>
                <w:rFonts w:ascii="Arial" w:eastAsia="Times New Roman" w:hAnsi="Arial" w:cs="Arial"/>
                <w:sz w:val="20"/>
                <w:szCs w:val="20"/>
                <w:lang w:eastAsia="hr-HR"/>
              </w:rPr>
              <w:t>021</w:t>
            </w:r>
            <w:r>
              <w:rPr>
                <w:rFonts w:ascii="Arial" w:eastAsia="Times New Roman" w:hAnsi="Arial" w:cs="Arial"/>
                <w:sz w:val="20"/>
                <w:szCs w:val="20"/>
                <w:lang w:eastAsia="hr-HR"/>
              </w:rPr>
              <w:t>.</w:t>
            </w:r>
            <w:r w:rsidRPr="004C3768">
              <w:rPr>
                <w:rFonts w:ascii="Arial" w:eastAsia="Times New Roman" w:hAnsi="Arial" w:cs="Arial"/>
                <w:sz w:val="20"/>
                <w:szCs w:val="20"/>
                <w:lang w:eastAsia="hr-HR"/>
              </w:rPr>
              <w:t>5</w:t>
            </w:r>
          </w:p>
        </w:tc>
        <w:tc>
          <w:tcPr>
            <w:tcW w:w="1695" w:type="dxa"/>
            <w:tcBorders>
              <w:top w:val="single" w:sz="4" w:space="0" w:color="auto"/>
              <w:bottom w:val="single" w:sz="4" w:space="0" w:color="auto"/>
            </w:tcBorders>
            <w:vAlign w:val="center"/>
          </w:tcPr>
          <w:p w14:paraId="2726555C" w14:textId="08382806" w:rsidR="002E20F5" w:rsidRPr="00834F2D" w:rsidRDefault="002E20F5" w:rsidP="00834F2D">
            <w:pPr>
              <w:spacing w:after="0"/>
              <w:jc w:val="right"/>
              <w:rPr>
                <w:rFonts w:ascii="Arial" w:eastAsia="Times New Roman" w:hAnsi="Arial" w:cs="Arial"/>
                <w:sz w:val="20"/>
                <w:szCs w:val="20"/>
                <w:lang w:eastAsia="hr-HR"/>
              </w:rPr>
            </w:pPr>
            <w:r w:rsidRPr="00834F2D">
              <w:rPr>
                <w:rFonts w:ascii="Arial" w:eastAsia="Times New Roman" w:hAnsi="Arial" w:cs="Arial"/>
                <w:sz w:val="20"/>
                <w:szCs w:val="20"/>
                <w:lang w:eastAsia="hr-HR"/>
              </w:rPr>
              <w:t>3,999.7</w:t>
            </w:r>
          </w:p>
        </w:tc>
        <w:tc>
          <w:tcPr>
            <w:tcW w:w="1695" w:type="dxa"/>
            <w:tcBorders>
              <w:top w:val="single" w:sz="4" w:space="0" w:color="auto"/>
              <w:left w:val="nil"/>
              <w:bottom w:val="single" w:sz="4" w:space="0" w:color="auto"/>
              <w:right w:val="single" w:sz="4" w:space="0" w:color="auto"/>
            </w:tcBorders>
            <w:vAlign w:val="center"/>
          </w:tcPr>
          <w:p w14:paraId="58900DE1" w14:textId="5602B8F9" w:rsidR="002E20F5" w:rsidRDefault="00834F2D" w:rsidP="00834F2D">
            <w:pPr>
              <w:spacing w:after="0"/>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2E20F5">
              <w:rPr>
                <w:rFonts w:ascii="Arial" w:eastAsia="Times New Roman" w:hAnsi="Arial" w:cs="Arial"/>
                <w:sz w:val="20"/>
                <w:szCs w:val="20"/>
                <w:lang w:eastAsia="hr-HR"/>
              </w:rPr>
              <w:t>3,985.6</w:t>
            </w:r>
          </w:p>
        </w:tc>
      </w:tr>
      <w:tr w:rsidR="002E20F5" w:rsidRPr="00A501B6" w14:paraId="4F1823ED" w14:textId="528E25FB" w:rsidTr="00834F2D">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5C1AB828" w14:textId="77777777" w:rsidR="002E20F5" w:rsidRPr="00A501B6" w:rsidRDefault="002E20F5" w:rsidP="002E20F5">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Gross loans </w:t>
            </w:r>
          </w:p>
        </w:tc>
        <w:tc>
          <w:tcPr>
            <w:tcW w:w="1755" w:type="dxa"/>
            <w:tcBorders>
              <w:top w:val="single" w:sz="4" w:space="0" w:color="auto"/>
              <w:bottom w:val="single" w:sz="4" w:space="0" w:color="auto"/>
            </w:tcBorders>
            <w:vAlign w:val="center"/>
          </w:tcPr>
          <w:p w14:paraId="142E6C23" w14:textId="22A82D16" w:rsidR="002E20F5" w:rsidRPr="00834F2D" w:rsidRDefault="002E20F5" w:rsidP="002E20F5">
            <w:pPr>
              <w:spacing w:after="0"/>
              <w:jc w:val="right"/>
              <w:rPr>
                <w:rFonts w:ascii="Arial" w:eastAsia="Times New Roman" w:hAnsi="Arial" w:cs="Arial"/>
                <w:sz w:val="20"/>
                <w:szCs w:val="20"/>
                <w:lang w:eastAsia="hr-HR"/>
              </w:rPr>
            </w:pPr>
            <w:r w:rsidRPr="004C3768">
              <w:rPr>
                <w:rFonts w:ascii="Arial" w:eastAsia="Times New Roman" w:hAnsi="Arial" w:cs="Arial"/>
                <w:sz w:val="20"/>
                <w:szCs w:val="20"/>
                <w:lang w:eastAsia="hr-HR"/>
              </w:rPr>
              <w:t>4</w:t>
            </w:r>
            <w:r>
              <w:rPr>
                <w:rFonts w:ascii="Arial" w:eastAsia="Times New Roman" w:hAnsi="Arial" w:cs="Arial"/>
                <w:sz w:val="20"/>
                <w:szCs w:val="20"/>
                <w:lang w:eastAsia="hr-HR"/>
              </w:rPr>
              <w:t>,</w:t>
            </w:r>
            <w:r w:rsidRPr="004C3768">
              <w:rPr>
                <w:rFonts w:ascii="Arial" w:eastAsia="Times New Roman" w:hAnsi="Arial" w:cs="Arial"/>
                <w:sz w:val="20"/>
                <w:szCs w:val="20"/>
                <w:lang w:eastAsia="hr-HR"/>
              </w:rPr>
              <w:t>077</w:t>
            </w:r>
            <w:r>
              <w:rPr>
                <w:rFonts w:ascii="Arial" w:eastAsia="Times New Roman" w:hAnsi="Arial" w:cs="Arial"/>
                <w:sz w:val="20"/>
                <w:szCs w:val="20"/>
                <w:lang w:eastAsia="hr-HR"/>
              </w:rPr>
              <w:t>.</w:t>
            </w:r>
            <w:r w:rsidRPr="004C3768">
              <w:rPr>
                <w:rFonts w:ascii="Arial" w:eastAsia="Times New Roman" w:hAnsi="Arial" w:cs="Arial"/>
                <w:sz w:val="20"/>
                <w:szCs w:val="20"/>
                <w:lang w:eastAsia="hr-HR"/>
              </w:rPr>
              <w:t>6</w:t>
            </w:r>
          </w:p>
        </w:tc>
        <w:tc>
          <w:tcPr>
            <w:tcW w:w="1695" w:type="dxa"/>
            <w:tcBorders>
              <w:top w:val="single" w:sz="4" w:space="0" w:color="auto"/>
              <w:bottom w:val="single" w:sz="4" w:space="0" w:color="auto"/>
            </w:tcBorders>
            <w:vAlign w:val="center"/>
          </w:tcPr>
          <w:p w14:paraId="53F73E26" w14:textId="5892FB70" w:rsidR="002E20F5" w:rsidRPr="00834F2D" w:rsidRDefault="002E20F5" w:rsidP="00834F2D">
            <w:pPr>
              <w:spacing w:after="0"/>
              <w:jc w:val="right"/>
              <w:rPr>
                <w:rFonts w:ascii="Arial" w:eastAsia="Times New Roman" w:hAnsi="Arial" w:cs="Arial"/>
                <w:sz w:val="20"/>
                <w:szCs w:val="20"/>
                <w:lang w:eastAsia="hr-HR"/>
              </w:rPr>
            </w:pPr>
            <w:r w:rsidRPr="00834F2D">
              <w:rPr>
                <w:rFonts w:ascii="Arial" w:eastAsia="Times New Roman" w:hAnsi="Arial" w:cs="Arial"/>
                <w:sz w:val="20"/>
                <w:szCs w:val="20"/>
                <w:lang w:eastAsia="hr-HR"/>
              </w:rPr>
              <w:t>4,013.4</w:t>
            </w:r>
          </w:p>
        </w:tc>
        <w:tc>
          <w:tcPr>
            <w:tcW w:w="1695" w:type="dxa"/>
            <w:tcBorders>
              <w:top w:val="single" w:sz="4" w:space="0" w:color="auto"/>
              <w:left w:val="nil"/>
              <w:bottom w:val="single" w:sz="4" w:space="0" w:color="auto"/>
              <w:right w:val="single" w:sz="4" w:space="0" w:color="auto"/>
            </w:tcBorders>
            <w:vAlign w:val="center"/>
          </w:tcPr>
          <w:p w14:paraId="3253E1BB" w14:textId="0E47B682" w:rsidR="002E20F5" w:rsidRDefault="00834F2D" w:rsidP="00834F2D">
            <w:pPr>
              <w:spacing w:after="0"/>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2E20F5">
              <w:rPr>
                <w:rFonts w:ascii="Arial" w:eastAsia="Times New Roman" w:hAnsi="Arial" w:cs="Arial"/>
                <w:sz w:val="20"/>
                <w:szCs w:val="20"/>
                <w:lang w:eastAsia="hr-HR"/>
              </w:rPr>
              <w:t>3,930.7</w:t>
            </w:r>
          </w:p>
        </w:tc>
      </w:tr>
      <w:tr w:rsidR="002E20F5" w:rsidRPr="00A501B6" w14:paraId="167DA5D3" w14:textId="4EFD22AF" w:rsidTr="00834F2D">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6C27190E" w14:textId="77777777" w:rsidR="002E20F5" w:rsidRPr="00A501B6" w:rsidRDefault="002E20F5" w:rsidP="002E20F5">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equity</w:t>
            </w:r>
          </w:p>
        </w:tc>
        <w:tc>
          <w:tcPr>
            <w:tcW w:w="1755" w:type="dxa"/>
            <w:tcBorders>
              <w:top w:val="single" w:sz="4" w:space="0" w:color="auto"/>
              <w:bottom w:val="single" w:sz="4" w:space="0" w:color="auto"/>
            </w:tcBorders>
            <w:vAlign w:val="center"/>
          </w:tcPr>
          <w:p w14:paraId="1B29ED60" w14:textId="66A99BC7" w:rsidR="002E20F5" w:rsidRPr="00834F2D" w:rsidRDefault="002E20F5" w:rsidP="002E20F5">
            <w:pPr>
              <w:spacing w:after="0"/>
              <w:jc w:val="right"/>
              <w:rPr>
                <w:rFonts w:ascii="Arial" w:eastAsia="Times New Roman" w:hAnsi="Arial" w:cs="Arial"/>
                <w:sz w:val="20"/>
                <w:szCs w:val="20"/>
                <w:lang w:eastAsia="hr-HR"/>
              </w:rPr>
            </w:pPr>
            <w:r w:rsidRPr="004C3768">
              <w:rPr>
                <w:rFonts w:ascii="Arial" w:eastAsia="Times New Roman" w:hAnsi="Arial" w:cs="Arial"/>
                <w:sz w:val="20"/>
                <w:szCs w:val="20"/>
                <w:lang w:eastAsia="hr-HR"/>
              </w:rPr>
              <w:t>1</w:t>
            </w:r>
            <w:r>
              <w:rPr>
                <w:rFonts w:ascii="Arial" w:eastAsia="Times New Roman" w:hAnsi="Arial" w:cs="Arial"/>
                <w:sz w:val="20"/>
                <w:szCs w:val="20"/>
                <w:lang w:eastAsia="hr-HR"/>
              </w:rPr>
              <w:t>,</w:t>
            </w:r>
            <w:r w:rsidRPr="004C3768">
              <w:rPr>
                <w:rFonts w:ascii="Arial" w:eastAsia="Times New Roman" w:hAnsi="Arial" w:cs="Arial"/>
                <w:sz w:val="20"/>
                <w:szCs w:val="20"/>
                <w:lang w:eastAsia="hr-HR"/>
              </w:rPr>
              <w:t>457</w:t>
            </w:r>
            <w:r>
              <w:rPr>
                <w:rFonts w:ascii="Arial" w:eastAsia="Times New Roman" w:hAnsi="Arial" w:cs="Arial"/>
                <w:sz w:val="20"/>
                <w:szCs w:val="20"/>
                <w:lang w:eastAsia="hr-HR"/>
              </w:rPr>
              <w:t>.</w:t>
            </w:r>
            <w:r w:rsidRPr="004C3768">
              <w:rPr>
                <w:rFonts w:ascii="Arial" w:eastAsia="Times New Roman" w:hAnsi="Arial" w:cs="Arial"/>
                <w:sz w:val="20"/>
                <w:szCs w:val="20"/>
                <w:lang w:eastAsia="hr-HR"/>
              </w:rPr>
              <w:t>9</w:t>
            </w:r>
          </w:p>
        </w:tc>
        <w:tc>
          <w:tcPr>
            <w:tcW w:w="1695" w:type="dxa"/>
            <w:tcBorders>
              <w:top w:val="single" w:sz="4" w:space="0" w:color="auto"/>
            </w:tcBorders>
            <w:vAlign w:val="center"/>
          </w:tcPr>
          <w:p w14:paraId="32843F50" w14:textId="4C50DD1E" w:rsidR="002E20F5" w:rsidRPr="00834F2D" w:rsidRDefault="002E20F5" w:rsidP="00834F2D">
            <w:pPr>
              <w:spacing w:after="0"/>
              <w:jc w:val="right"/>
              <w:rPr>
                <w:rFonts w:ascii="Arial" w:eastAsia="Times New Roman" w:hAnsi="Arial" w:cs="Arial"/>
                <w:sz w:val="20"/>
                <w:szCs w:val="20"/>
                <w:lang w:eastAsia="hr-HR"/>
              </w:rPr>
            </w:pPr>
            <w:r w:rsidRPr="00834F2D">
              <w:rPr>
                <w:rFonts w:ascii="Arial" w:eastAsia="Times New Roman" w:hAnsi="Arial" w:cs="Arial"/>
                <w:sz w:val="20"/>
                <w:szCs w:val="20"/>
                <w:lang w:eastAsia="hr-HR"/>
              </w:rPr>
              <w:t>1,504.3</w:t>
            </w:r>
          </w:p>
        </w:tc>
        <w:tc>
          <w:tcPr>
            <w:tcW w:w="1695" w:type="dxa"/>
            <w:tcBorders>
              <w:top w:val="single" w:sz="4" w:space="0" w:color="auto"/>
              <w:left w:val="nil"/>
              <w:bottom w:val="single" w:sz="4" w:space="0" w:color="auto"/>
              <w:right w:val="single" w:sz="4" w:space="0" w:color="auto"/>
            </w:tcBorders>
            <w:vAlign w:val="center"/>
          </w:tcPr>
          <w:p w14:paraId="60287A99" w14:textId="2563B279" w:rsidR="002E20F5" w:rsidRDefault="00834F2D" w:rsidP="00834F2D">
            <w:pPr>
              <w:spacing w:after="0"/>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2E20F5">
              <w:rPr>
                <w:rFonts w:ascii="Arial" w:eastAsia="Times New Roman" w:hAnsi="Arial" w:cs="Arial"/>
                <w:sz w:val="20"/>
                <w:szCs w:val="20"/>
                <w:lang w:eastAsia="hr-HR"/>
              </w:rPr>
              <w:t>1,560.4</w:t>
            </w:r>
          </w:p>
        </w:tc>
      </w:tr>
      <w:tr w:rsidR="00A12F48" w:rsidRPr="00A501B6" w14:paraId="57BC06B0" w14:textId="3747525C" w:rsidTr="00834F2D">
        <w:trPr>
          <w:trHeight w:val="437"/>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6D4F473F" w14:textId="77777777" w:rsidR="00A12F48" w:rsidRPr="00A501B6" w:rsidRDefault="00A12F48" w:rsidP="0017521A">
            <w:pPr>
              <w:spacing w:after="0"/>
              <w:rPr>
                <w:rFonts w:ascii="Arial" w:hAnsi="Arial" w:cs="Arial"/>
                <w:b/>
                <w:bCs/>
                <w:color w:val="000000"/>
                <w:sz w:val="20"/>
                <w:szCs w:val="20"/>
                <w:lang w:val="en-GB" w:eastAsia="hr-HR"/>
              </w:rPr>
            </w:pPr>
            <w:r w:rsidRPr="00A501B6">
              <w:rPr>
                <w:rFonts w:ascii="Arial" w:hAnsi="Arial" w:cs="Arial"/>
                <w:color w:val="FFFFFF"/>
                <w:sz w:val="20"/>
                <w:szCs w:val="20"/>
                <w:lang w:val="en-GB" w:eastAsia="hr-HR"/>
              </w:rPr>
              <w:t> </w:t>
            </w:r>
          </w:p>
        </w:tc>
        <w:tc>
          <w:tcPr>
            <w:tcW w:w="1755" w:type="dxa"/>
            <w:tcBorders>
              <w:top w:val="single" w:sz="4" w:space="0" w:color="auto"/>
              <w:bottom w:val="single" w:sz="4" w:space="0" w:color="auto"/>
            </w:tcBorders>
            <w:shd w:val="clear" w:color="auto" w:fill="7F7F7F"/>
            <w:vAlign w:val="center"/>
          </w:tcPr>
          <w:p w14:paraId="195F5ED9" w14:textId="7094DF8B" w:rsidR="00A12F48" w:rsidRPr="00A501B6" w:rsidRDefault="00A12F48" w:rsidP="0017521A">
            <w:pPr>
              <w:spacing w:after="0"/>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1 January – 3</w:t>
            </w:r>
            <w:r>
              <w:rPr>
                <w:rFonts w:ascii="Arial" w:hAnsi="Arial" w:cs="Arial"/>
                <w:b/>
                <w:bCs/>
                <w:color w:val="FFFFFF"/>
                <w:sz w:val="20"/>
                <w:szCs w:val="20"/>
                <w:lang w:val="en-GB" w:eastAsia="hr-HR"/>
              </w:rPr>
              <w:t>0 June</w:t>
            </w:r>
            <w:r w:rsidRPr="00A501B6">
              <w:rPr>
                <w:rFonts w:ascii="Arial" w:hAnsi="Arial" w:cs="Arial"/>
                <w:b/>
                <w:bCs/>
                <w:color w:val="FFFFFF"/>
                <w:sz w:val="20"/>
                <w:szCs w:val="20"/>
                <w:lang w:val="en-GB" w:eastAsia="hr-HR"/>
              </w:rPr>
              <w:t xml:space="preserve"> 202</w:t>
            </w:r>
            <w:r>
              <w:rPr>
                <w:rFonts w:ascii="Arial" w:hAnsi="Arial" w:cs="Arial"/>
                <w:b/>
                <w:bCs/>
                <w:color w:val="FFFFFF"/>
                <w:sz w:val="20"/>
                <w:szCs w:val="20"/>
                <w:lang w:val="en-GB" w:eastAsia="hr-HR"/>
              </w:rPr>
              <w:t>3</w:t>
            </w:r>
          </w:p>
        </w:tc>
        <w:tc>
          <w:tcPr>
            <w:tcW w:w="1695" w:type="dxa"/>
            <w:tcBorders>
              <w:top w:val="single" w:sz="4" w:space="0" w:color="auto"/>
              <w:bottom w:val="single" w:sz="4" w:space="0" w:color="auto"/>
            </w:tcBorders>
            <w:shd w:val="clear" w:color="auto" w:fill="7F7F7F"/>
            <w:vAlign w:val="center"/>
          </w:tcPr>
          <w:p w14:paraId="298112D4" w14:textId="29C62755" w:rsidR="00A12F48" w:rsidRPr="00A501B6" w:rsidRDefault="00A12F48" w:rsidP="0017521A">
            <w:pPr>
              <w:spacing w:after="0"/>
              <w:ind w:right="113"/>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1 January – 3</w:t>
            </w:r>
            <w:r>
              <w:rPr>
                <w:rFonts w:ascii="Arial" w:hAnsi="Arial" w:cs="Arial"/>
                <w:b/>
                <w:bCs/>
                <w:color w:val="FFFFFF"/>
                <w:sz w:val="20"/>
                <w:szCs w:val="20"/>
                <w:lang w:val="en-GB" w:eastAsia="hr-HR"/>
              </w:rPr>
              <w:t>0 June</w:t>
            </w:r>
            <w:r w:rsidRPr="00A501B6">
              <w:rPr>
                <w:rFonts w:ascii="Arial" w:hAnsi="Arial" w:cs="Arial"/>
                <w:b/>
                <w:bCs/>
                <w:color w:val="FFFFFF"/>
                <w:sz w:val="20"/>
                <w:szCs w:val="20"/>
                <w:lang w:val="en-GB" w:eastAsia="hr-HR"/>
              </w:rPr>
              <w:t xml:space="preserve"> 202</w:t>
            </w:r>
            <w:r>
              <w:rPr>
                <w:rFonts w:ascii="Arial" w:hAnsi="Arial" w:cs="Arial"/>
                <w:b/>
                <w:bCs/>
                <w:color w:val="FFFFFF"/>
                <w:sz w:val="20"/>
                <w:szCs w:val="20"/>
                <w:lang w:val="en-GB" w:eastAsia="hr-HR"/>
              </w:rPr>
              <w:t>4</w:t>
            </w:r>
          </w:p>
        </w:tc>
        <w:tc>
          <w:tcPr>
            <w:tcW w:w="1695" w:type="dxa"/>
            <w:tcBorders>
              <w:top w:val="single" w:sz="4" w:space="0" w:color="auto"/>
              <w:left w:val="nil"/>
              <w:bottom w:val="single" w:sz="4" w:space="0" w:color="auto"/>
              <w:right w:val="single" w:sz="4" w:space="0" w:color="auto"/>
            </w:tcBorders>
            <w:shd w:val="clear" w:color="auto" w:fill="7F7F7F"/>
          </w:tcPr>
          <w:p w14:paraId="462F592E" w14:textId="61CBF698" w:rsidR="00A12F48" w:rsidRPr="00A501B6" w:rsidRDefault="00A12F48" w:rsidP="0017521A">
            <w:pPr>
              <w:spacing w:after="0"/>
              <w:ind w:right="113"/>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1 January – 3</w:t>
            </w:r>
            <w:r>
              <w:rPr>
                <w:rFonts w:ascii="Arial" w:hAnsi="Arial" w:cs="Arial"/>
                <w:b/>
                <w:bCs/>
                <w:color w:val="FFFFFF"/>
                <w:sz w:val="20"/>
                <w:szCs w:val="20"/>
                <w:lang w:val="en-GB" w:eastAsia="hr-HR"/>
              </w:rPr>
              <w:t>0 June</w:t>
            </w:r>
            <w:r w:rsidRPr="00A501B6">
              <w:rPr>
                <w:rFonts w:ascii="Arial" w:hAnsi="Arial" w:cs="Arial"/>
                <w:b/>
                <w:bCs/>
                <w:color w:val="FFFFFF"/>
                <w:sz w:val="20"/>
                <w:szCs w:val="20"/>
                <w:lang w:val="en-GB" w:eastAsia="hr-HR"/>
              </w:rPr>
              <w:t xml:space="preserve"> 202</w:t>
            </w:r>
            <w:r>
              <w:rPr>
                <w:rFonts w:ascii="Arial" w:hAnsi="Arial" w:cs="Arial"/>
                <w:b/>
                <w:bCs/>
                <w:color w:val="FFFFFF"/>
                <w:sz w:val="20"/>
                <w:szCs w:val="20"/>
                <w:lang w:val="en-GB" w:eastAsia="hr-HR"/>
              </w:rPr>
              <w:t>5</w:t>
            </w:r>
          </w:p>
        </w:tc>
      </w:tr>
      <w:tr w:rsidR="002E20F5" w:rsidRPr="00A501B6" w14:paraId="2E416E6A" w14:textId="00CBBF92" w:rsidTr="00834F2D">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63596634" w14:textId="77777777" w:rsidR="002E20F5" w:rsidRPr="00A501B6" w:rsidRDefault="002E20F5" w:rsidP="002E20F5">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Total income </w:t>
            </w:r>
          </w:p>
        </w:tc>
        <w:tc>
          <w:tcPr>
            <w:tcW w:w="1755" w:type="dxa"/>
            <w:tcBorders>
              <w:top w:val="single" w:sz="4" w:space="0" w:color="auto"/>
              <w:left w:val="nil"/>
              <w:bottom w:val="single" w:sz="4" w:space="0" w:color="auto"/>
              <w:right w:val="nil"/>
            </w:tcBorders>
            <w:vAlign w:val="center"/>
          </w:tcPr>
          <w:p w14:paraId="1D57436B" w14:textId="59044155" w:rsidR="002E20F5" w:rsidRPr="00A501B6" w:rsidRDefault="002E20F5" w:rsidP="00834F2D">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58.4</w:t>
            </w:r>
          </w:p>
        </w:tc>
        <w:tc>
          <w:tcPr>
            <w:tcW w:w="1695" w:type="dxa"/>
            <w:tcBorders>
              <w:top w:val="single" w:sz="4" w:space="0" w:color="auto"/>
              <w:left w:val="nil"/>
            </w:tcBorders>
            <w:vAlign w:val="center"/>
          </w:tcPr>
          <w:p w14:paraId="37C2263B" w14:textId="4834C341" w:rsidR="002E20F5" w:rsidRPr="00A501B6" w:rsidRDefault="002E20F5" w:rsidP="00834F2D">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76.5</w:t>
            </w:r>
          </w:p>
        </w:tc>
        <w:tc>
          <w:tcPr>
            <w:tcW w:w="1695" w:type="dxa"/>
            <w:tcBorders>
              <w:top w:val="single" w:sz="4" w:space="0" w:color="auto"/>
              <w:left w:val="nil"/>
              <w:right w:val="single" w:sz="4" w:space="0" w:color="auto"/>
            </w:tcBorders>
            <w:vAlign w:val="center"/>
          </w:tcPr>
          <w:p w14:paraId="23810082" w14:textId="42E8B83F" w:rsidR="002E20F5" w:rsidRDefault="00834F2D" w:rsidP="00834F2D">
            <w:pPr>
              <w:spacing w:after="0"/>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2E20F5">
              <w:rPr>
                <w:rFonts w:ascii="Arial" w:eastAsia="Times New Roman" w:hAnsi="Arial" w:cs="Arial"/>
                <w:sz w:val="20"/>
                <w:szCs w:val="20"/>
                <w:lang w:eastAsia="hr-HR"/>
              </w:rPr>
              <w:t>102.9</w:t>
            </w:r>
          </w:p>
        </w:tc>
      </w:tr>
      <w:tr w:rsidR="002E20F5" w:rsidRPr="00A501B6" w14:paraId="6F2962DC" w14:textId="085C05AA" w:rsidTr="00834F2D">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F35AF34" w14:textId="77777777" w:rsidR="002E20F5" w:rsidRPr="00A501B6" w:rsidRDefault="002E20F5" w:rsidP="002E20F5">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expense</w:t>
            </w:r>
          </w:p>
        </w:tc>
        <w:tc>
          <w:tcPr>
            <w:tcW w:w="1755" w:type="dxa"/>
            <w:tcBorders>
              <w:top w:val="single" w:sz="4" w:space="0" w:color="auto"/>
              <w:left w:val="nil"/>
              <w:bottom w:val="single" w:sz="4" w:space="0" w:color="auto"/>
              <w:right w:val="nil"/>
            </w:tcBorders>
            <w:shd w:val="clear" w:color="auto" w:fill="FFFFFF"/>
            <w:vAlign w:val="center"/>
          </w:tcPr>
          <w:p w14:paraId="3182EA59" w14:textId="4B83F80B" w:rsidR="002E20F5" w:rsidRPr="00A501B6" w:rsidRDefault="002E20F5" w:rsidP="00834F2D">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w:t>
            </w:r>
            <w:r w:rsidRPr="003A47E2">
              <w:rPr>
                <w:rFonts w:ascii="Arial" w:hAnsi="Arial" w:cs="Arial"/>
                <w:color w:val="000000"/>
                <w:sz w:val="20"/>
                <w:szCs w:val="20"/>
                <w:lang w:val="en-GB" w:eastAsia="hr-HR"/>
              </w:rPr>
              <w:t>28.6</w:t>
            </w:r>
            <w:r>
              <w:rPr>
                <w:rFonts w:ascii="Arial" w:hAnsi="Arial" w:cs="Arial"/>
                <w:color w:val="000000"/>
                <w:sz w:val="20"/>
                <w:szCs w:val="20"/>
                <w:lang w:val="en-GB" w:eastAsia="hr-HR"/>
              </w:rPr>
              <w:t>)</w:t>
            </w:r>
          </w:p>
        </w:tc>
        <w:tc>
          <w:tcPr>
            <w:tcW w:w="1695" w:type="dxa"/>
            <w:tcBorders>
              <w:top w:val="single" w:sz="4" w:space="0" w:color="000000"/>
              <w:left w:val="nil"/>
              <w:bottom w:val="single" w:sz="4" w:space="0" w:color="000000"/>
            </w:tcBorders>
            <w:vAlign w:val="center"/>
          </w:tcPr>
          <w:p w14:paraId="066516D3" w14:textId="70745A8D" w:rsidR="002E20F5" w:rsidRPr="00A501B6" w:rsidRDefault="002E20F5" w:rsidP="00834F2D">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(38.0)</w:t>
            </w:r>
          </w:p>
        </w:tc>
        <w:tc>
          <w:tcPr>
            <w:tcW w:w="1695" w:type="dxa"/>
            <w:tcBorders>
              <w:top w:val="single" w:sz="4" w:space="0" w:color="000000"/>
              <w:left w:val="nil"/>
              <w:bottom w:val="single" w:sz="4" w:space="0" w:color="000000"/>
              <w:right w:val="single" w:sz="4" w:space="0" w:color="auto"/>
            </w:tcBorders>
            <w:vAlign w:val="center"/>
          </w:tcPr>
          <w:p w14:paraId="4D51EFEC" w14:textId="1A40CC42" w:rsidR="002E20F5" w:rsidRDefault="00834F2D" w:rsidP="00834F2D">
            <w:pPr>
              <w:spacing w:after="0"/>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2E20F5">
              <w:rPr>
                <w:rFonts w:ascii="Arial" w:eastAsia="Times New Roman" w:hAnsi="Arial" w:cs="Arial"/>
                <w:sz w:val="20"/>
                <w:szCs w:val="20"/>
                <w:lang w:eastAsia="hr-HR"/>
              </w:rPr>
              <w:t>(48.0)</w:t>
            </w:r>
          </w:p>
        </w:tc>
      </w:tr>
      <w:tr w:rsidR="002E20F5" w:rsidRPr="00A501B6" w14:paraId="28BEB62B" w14:textId="4CEA3C0B" w:rsidTr="00834F2D">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1C27355" w14:textId="77777777" w:rsidR="002E20F5" w:rsidRPr="00A501B6" w:rsidRDefault="002E20F5" w:rsidP="002E20F5">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Profit </w:t>
            </w:r>
          </w:p>
        </w:tc>
        <w:tc>
          <w:tcPr>
            <w:tcW w:w="1755" w:type="dxa"/>
            <w:tcBorders>
              <w:top w:val="single" w:sz="4" w:space="0" w:color="auto"/>
              <w:left w:val="nil"/>
              <w:bottom w:val="single" w:sz="4" w:space="0" w:color="auto"/>
              <w:right w:val="nil"/>
            </w:tcBorders>
            <w:shd w:val="clear" w:color="auto" w:fill="FFFFFF"/>
            <w:vAlign w:val="center"/>
          </w:tcPr>
          <w:p w14:paraId="184EE6F0" w14:textId="5859AEE5" w:rsidR="002E20F5" w:rsidRPr="00A501B6" w:rsidRDefault="002E20F5" w:rsidP="00834F2D">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29.8</w:t>
            </w:r>
          </w:p>
        </w:tc>
        <w:tc>
          <w:tcPr>
            <w:tcW w:w="1695" w:type="dxa"/>
            <w:tcBorders>
              <w:left w:val="nil"/>
            </w:tcBorders>
            <w:vAlign w:val="center"/>
          </w:tcPr>
          <w:p w14:paraId="25FE52E4" w14:textId="5B41FBDE" w:rsidR="002E20F5" w:rsidRPr="00A501B6" w:rsidRDefault="002E20F5" w:rsidP="00834F2D">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38.5</w:t>
            </w:r>
          </w:p>
        </w:tc>
        <w:tc>
          <w:tcPr>
            <w:tcW w:w="1695" w:type="dxa"/>
            <w:tcBorders>
              <w:left w:val="nil"/>
              <w:right w:val="single" w:sz="4" w:space="0" w:color="auto"/>
            </w:tcBorders>
            <w:vAlign w:val="center"/>
          </w:tcPr>
          <w:p w14:paraId="510E5234" w14:textId="375DCED3" w:rsidR="002E20F5" w:rsidRDefault="00834F2D" w:rsidP="00834F2D">
            <w:pPr>
              <w:spacing w:after="0"/>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2E20F5">
              <w:rPr>
                <w:rFonts w:ascii="Arial" w:eastAsia="Times New Roman" w:hAnsi="Arial" w:cs="Arial"/>
                <w:sz w:val="20"/>
                <w:szCs w:val="20"/>
                <w:lang w:eastAsia="hr-HR"/>
              </w:rPr>
              <w:t>54.9</w:t>
            </w:r>
          </w:p>
        </w:tc>
      </w:tr>
      <w:tr w:rsidR="002E20F5" w:rsidRPr="00A501B6" w14:paraId="1E6166E9" w14:textId="386C8804" w:rsidTr="00834F2D">
        <w:trPr>
          <w:trHeight w:val="85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375F5215" w14:textId="64327B3D" w:rsidR="002E20F5" w:rsidRPr="00A501B6" w:rsidRDefault="002E20F5" w:rsidP="002E20F5">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Interest income calculated </w:t>
            </w:r>
            <w:proofErr w:type="gramStart"/>
            <w:r w:rsidRPr="00A501B6">
              <w:rPr>
                <w:rFonts w:ascii="Arial" w:hAnsi="Arial" w:cs="Arial"/>
                <w:b/>
                <w:bCs/>
                <w:color w:val="000000"/>
                <w:sz w:val="20"/>
                <w:szCs w:val="20"/>
                <w:lang w:val="en-GB" w:eastAsia="hr-HR"/>
              </w:rPr>
              <w:t>on the basis of</w:t>
            </w:r>
            <w:proofErr w:type="gramEnd"/>
            <w:r w:rsidRPr="00A501B6">
              <w:rPr>
                <w:rFonts w:ascii="Arial" w:hAnsi="Arial" w:cs="Arial"/>
                <w:b/>
                <w:bCs/>
                <w:color w:val="000000"/>
                <w:sz w:val="20"/>
                <w:szCs w:val="20"/>
                <w:lang w:val="en-GB" w:eastAsia="hr-HR"/>
              </w:rPr>
              <w:t xml:space="preserve"> effective interest rate method</w:t>
            </w:r>
            <w:r>
              <w:rPr>
                <w:rFonts w:ascii="Arial" w:hAnsi="Arial" w:cs="Arial"/>
                <w:b/>
                <w:bCs/>
                <w:color w:val="000000"/>
                <w:sz w:val="20"/>
                <w:szCs w:val="20"/>
                <w:lang w:val="en-GB" w:eastAsia="hr-HR"/>
              </w:rPr>
              <w:t xml:space="preserve"> and income from cancellation of the subsidy deferral at the expense of HBOR’s operations</w:t>
            </w:r>
          </w:p>
        </w:tc>
        <w:tc>
          <w:tcPr>
            <w:tcW w:w="1755" w:type="dxa"/>
            <w:tcBorders>
              <w:top w:val="single" w:sz="4" w:space="0" w:color="auto"/>
              <w:left w:val="nil"/>
              <w:bottom w:val="single" w:sz="4" w:space="0" w:color="auto"/>
              <w:right w:val="nil"/>
            </w:tcBorders>
            <w:vAlign w:val="center"/>
          </w:tcPr>
          <w:p w14:paraId="57D36AA2" w14:textId="6201FB1C" w:rsidR="002E20F5" w:rsidRPr="00A501B6" w:rsidRDefault="002E20F5" w:rsidP="00834F2D">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44.3</w:t>
            </w:r>
          </w:p>
        </w:tc>
        <w:tc>
          <w:tcPr>
            <w:tcW w:w="1695" w:type="dxa"/>
            <w:tcBorders>
              <w:top w:val="single" w:sz="4" w:space="0" w:color="000000"/>
              <w:left w:val="nil"/>
              <w:bottom w:val="single" w:sz="4" w:space="0" w:color="000000"/>
            </w:tcBorders>
            <w:vAlign w:val="center"/>
          </w:tcPr>
          <w:p w14:paraId="64AEBBA4" w14:textId="7557A73E" w:rsidR="002E20F5" w:rsidRPr="00A501B6" w:rsidRDefault="002E20F5" w:rsidP="00834F2D">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56.3</w:t>
            </w:r>
          </w:p>
        </w:tc>
        <w:tc>
          <w:tcPr>
            <w:tcW w:w="1695" w:type="dxa"/>
            <w:tcBorders>
              <w:top w:val="single" w:sz="4" w:space="0" w:color="000000"/>
              <w:left w:val="nil"/>
              <w:bottom w:val="single" w:sz="4" w:space="0" w:color="000000"/>
              <w:right w:val="single" w:sz="4" w:space="0" w:color="auto"/>
            </w:tcBorders>
            <w:vAlign w:val="center"/>
          </w:tcPr>
          <w:p w14:paraId="36AAD4C6" w14:textId="13CE7216" w:rsidR="002E20F5" w:rsidRDefault="00834F2D" w:rsidP="00834F2D">
            <w:pPr>
              <w:spacing w:after="0"/>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2E20F5">
              <w:rPr>
                <w:rFonts w:ascii="Arial" w:eastAsia="Times New Roman" w:hAnsi="Arial" w:cs="Arial"/>
                <w:sz w:val="20"/>
                <w:szCs w:val="20"/>
                <w:lang w:eastAsia="hr-HR"/>
              </w:rPr>
              <w:t>58.7</w:t>
            </w:r>
          </w:p>
        </w:tc>
      </w:tr>
      <w:tr w:rsidR="002E20F5" w:rsidRPr="00A501B6" w14:paraId="1103AF0B" w14:textId="06B7DA6E" w:rsidTr="00834F2D">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9B5B471" w14:textId="77777777" w:rsidR="002E20F5" w:rsidRPr="00A501B6" w:rsidRDefault="002E20F5" w:rsidP="002E20F5">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Interest expense </w:t>
            </w:r>
          </w:p>
        </w:tc>
        <w:tc>
          <w:tcPr>
            <w:tcW w:w="1755" w:type="dxa"/>
            <w:tcBorders>
              <w:top w:val="single" w:sz="4" w:space="0" w:color="auto"/>
              <w:left w:val="nil"/>
              <w:bottom w:val="single" w:sz="4" w:space="0" w:color="auto"/>
              <w:right w:val="nil"/>
            </w:tcBorders>
            <w:shd w:val="clear" w:color="auto" w:fill="FFFFFF"/>
            <w:vAlign w:val="center"/>
          </w:tcPr>
          <w:p w14:paraId="7C347E13" w14:textId="2A700AE5" w:rsidR="002E20F5" w:rsidRPr="00A501B6" w:rsidRDefault="002E20F5" w:rsidP="00834F2D">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w:t>
            </w:r>
            <w:r w:rsidRPr="003A47E2">
              <w:rPr>
                <w:rFonts w:ascii="Arial" w:hAnsi="Arial" w:cs="Arial"/>
                <w:color w:val="000000"/>
                <w:sz w:val="20"/>
                <w:szCs w:val="20"/>
                <w:lang w:val="en-GB" w:eastAsia="hr-HR"/>
              </w:rPr>
              <w:t>12.3</w:t>
            </w:r>
            <w:r>
              <w:rPr>
                <w:rFonts w:ascii="Arial" w:hAnsi="Arial" w:cs="Arial"/>
                <w:color w:val="000000"/>
                <w:sz w:val="20"/>
                <w:szCs w:val="20"/>
                <w:lang w:val="en-GB" w:eastAsia="hr-HR"/>
              </w:rPr>
              <w:t>)</w:t>
            </w:r>
          </w:p>
        </w:tc>
        <w:tc>
          <w:tcPr>
            <w:tcW w:w="1695" w:type="dxa"/>
            <w:tcBorders>
              <w:left w:val="nil"/>
            </w:tcBorders>
            <w:vAlign w:val="center"/>
          </w:tcPr>
          <w:p w14:paraId="04D596B7" w14:textId="32189538" w:rsidR="002E20F5" w:rsidRPr="00A501B6" w:rsidRDefault="002E20F5" w:rsidP="00834F2D">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(22.1)</w:t>
            </w:r>
          </w:p>
        </w:tc>
        <w:tc>
          <w:tcPr>
            <w:tcW w:w="1695" w:type="dxa"/>
            <w:tcBorders>
              <w:left w:val="nil"/>
              <w:right w:val="single" w:sz="4" w:space="0" w:color="auto"/>
            </w:tcBorders>
            <w:vAlign w:val="center"/>
          </w:tcPr>
          <w:p w14:paraId="564352E6" w14:textId="47F88C70" w:rsidR="002E20F5" w:rsidRDefault="00834F2D" w:rsidP="00834F2D">
            <w:pPr>
              <w:spacing w:after="0"/>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2E20F5">
              <w:rPr>
                <w:rFonts w:ascii="Arial" w:eastAsia="Times New Roman" w:hAnsi="Arial" w:cs="Arial"/>
                <w:sz w:val="20"/>
                <w:szCs w:val="20"/>
                <w:lang w:eastAsia="hr-HR"/>
              </w:rPr>
              <w:t>(24.2)</w:t>
            </w:r>
          </w:p>
        </w:tc>
      </w:tr>
      <w:tr w:rsidR="002E20F5" w:rsidRPr="00A501B6" w14:paraId="524EB37D" w14:textId="3918DB87" w:rsidTr="00834F2D">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555EF430" w14:textId="77777777" w:rsidR="002E20F5" w:rsidRPr="00A501B6" w:rsidRDefault="002E20F5" w:rsidP="002E20F5">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Net interest income </w:t>
            </w:r>
          </w:p>
        </w:tc>
        <w:tc>
          <w:tcPr>
            <w:tcW w:w="1755" w:type="dxa"/>
            <w:tcBorders>
              <w:top w:val="single" w:sz="4" w:space="0" w:color="auto"/>
              <w:left w:val="nil"/>
              <w:bottom w:val="single" w:sz="4" w:space="0" w:color="auto"/>
              <w:right w:val="nil"/>
            </w:tcBorders>
            <w:shd w:val="clear" w:color="auto" w:fill="FFFFFF"/>
            <w:vAlign w:val="center"/>
          </w:tcPr>
          <w:p w14:paraId="1B8D279E" w14:textId="7B2BC63B" w:rsidR="002E20F5" w:rsidRPr="00A501B6" w:rsidRDefault="002E20F5" w:rsidP="00834F2D">
            <w:pPr>
              <w:spacing w:after="0"/>
              <w:jc w:val="right"/>
              <w:rPr>
                <w:rFonts w:ascii="Arial" w:hAnsi="Arial" w:cs="Arial"/>
                <w:color w:val="000000"/>
                <w:sz w:val="20"/>
                <w:szCs w:val="20"/>
                <w:lang w:val="en-GB" w:eastAsia="hr-HR"/>
              </w:rPr>
            </w:pPr>
            <w:r w:rsidRPr="003A47E2">
              <w:rPr>
                <w:rFonts w:ascii="Arial" w:hAnsi="Arial" w:cs="Arial"/>
                <w:color w:val="000000"/>
                <w:sz w:val="20"/>
                <w:szCs w:val="20"/>
                <w:lang w:val="en-GB" w:eastAsia="hr-HR"/>
              </w:rPr>
              <w:t>32.0</w:t>
            </w:r>
          </w:p>
        </w:tc>
        <w:tc>
          <w:tcPr>
            <w:tcW w:w="1695" w:type="dxa"/>
            <w:tcBorders>
              <w:top w:val="single" w:sz="4" w:space="0" w:color="000000"/>
              <w:left w:val="nil"/>
              <w:bottom w:val="single" w:sz="4" w:space="0" w:color="000000"/>
            </w:tcBorders>
            <w:vAlign w:val="center"/>
          </w:tcPr>
          <w:p w14:paraId="1135A6DA" w14:textId="3C312392" w:rsidR="002E20F5" w:rsidRPr="00A501B6" w:rsidRDefault="002E20F5" w:rsidP="00834F2D">
            <w:pPr>
              <w:spacing w:after="0"/>
              <w:jc w:val="right"/>
              <w:rPr>
                <w:rFonts w:ascii="Arial" w:hAnsi="Arial" w:cs="Arial"/>
                <w:color w:val="000000"/>
                <w:sz w:val="20"/>
                <w:szCs w:val="20"/>
                <w:lang w:val="en-GB" w:eastAsia="hr-HR"/>
              </w:rPr>
            </w:pPr>
            <w:r>
              <w:rPr>
                <w:rFonts w:ascii="Arial" w:eastAsia="Times New Roman" w:hAnsi="Arial" w:cs="Arial"/>
                <w:sz w:val="20"/>
                <w:szCs w:val="20"/>
                <w:lang w:eastAsia="hr-HR"/>
              </w:rPr>
              <w:t>34.2</w:t>
            </w:r>
          </w:p>
        </w:tc>
        <w:tc>
          <w:tcPr>
            <w:tcW w:w="1695" w:type="dxa"/>
            <w:tcBorders>
              <w:top w:val="single" w:sz="4" w:space="0" w:color="000000"/>
              <w:left w:val="nil"/>
              <w:bottom w:val="single" w:sz="4" w:space="0" w:color="000000"/>
              <w:right w:val="single" w:sz="4" w:space="0" w:color="auto"/>
            </w:tcBorders>
            <w:vAlign w:val="center"/>
          </w:tcPr>
          <w:p w14:paraId="09AA956D" w14:textId="1600328E" w:rsidR="002E20F5" w:rsidRDefault="00834F2D" w:rsidP="00834F2D">
            <w:pPr>
              <w:spacing w:after="0"/>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2E20F5">
              <w:rPr>
                <w:rFonts w:ascii="Arial" w:eastAsia="Times New Roman" w:hAnsi="Arial" w:cs="Arial"/>
                <w:sz w:val="20"/>
                <w:szCs w:val="20"/>
                <w:lang w:eastAsia="hr-HR"/>
              </w:rPr>
              <w:t>34.5</w:t>
            </w:r>
          </w:p>
        </w:tc>
      </w:tr>
    </w:tbl>
    <w:p w14:paraId="53508816" w14:textId="53818896" w:rsidR="006D482A" w:rsidRDefault="006D482A"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192223B8" w14:textId="77777777" w:rsidR="002A01FF" w:rsidRDefault="002A01FF" w:rsidP="002A01FF">
      <w:pPr>
        <w:tabs>
          <w:tab w:val="left" w:pos="-720"/>
          <w:tab w:val="left" w:pos="426"/>
        </w:tabs>
        <w:suppressAutoHyphens/>
        <w:spacing w:after="0" w:line="240" w:lineRule="auto"/>
        <w:jc w:val="both"/>
        <w:rPr>
          <w:rFonts w:eastAsia="Times New Roman" w:cs="Calibri"/>
          <w:b/>
          <w:caps/>
          <w:spacing w:val="-3"/>
          <w:szCs w:val="26"/>
          <w:lang w:val="en-GB" w:eastAsia="hr-HR"/>
        </w:rPr>
      </w:pPr>
    </w:p>
    <w:p w14:paraId="4DC0FE85" w14:textId="4914FB5F" w:rsidR="002A01FF" w:rsidRPr="00CD3FCA" w:rsidRDefault="003D16B6" w:rsidP="002A01FF">
      <w:pPr>
        <w:tabs>
          <w:tab w:val="left" w:pos="-720"/>
          <w:tab w:val="left" w:pos="0"/>
          <w:tab w:val="left" w:pos="4820"/>
        </w:tabs>
        <w:suppressAutoHyphens/>
        <w:spacing w:after="0" w:line="240" w:lineRule="auto"/>
        <w:ind w:left="-426" w:right="-425"/>
        <w:jc w:val="both"/>
        <w:rPr>
          <w:noProof/>
        </w:rPr>
      </w:pPr>
      <w:r>
        <w:rPr>
          <w:noProof/>
        </w:rPr>
        <w:drawing>
          <wp:inline distT="0" distB="0" distL="0" distR="0" wp14:anchorId="7C72D943" wp14:editId="113A7BA7">
            <wp:extent cx="3155950" cy="2267212"/>
            <wp:effectExtent l="0" t="0" r="6350" b="0"/>
            <wp:docPr id="17348468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1178" cy="2270967"/>
                    </a:xfrm>
                    <a:prstGeom prst="rect">
                      <a:avLst/>
                    </a:prstGeom>
                    <a:noFill/>
                  </pic:spPr>
                </pic:pic>
              </a:graphicData>
            </a:graphic>
          </wp:inline>
        </w:drawing>
      </w:r>
      <w:r w:rsidR="002A01FF" w:rsidRPr="00CD3FCA">
        <w:rPr>
          <w:noProof/>
        </w:rPr>
        <w:t xml:space="preserve"> </w:t>
      </w:r>
      <w:r>
        <w:rPr>
          <w:noProof/>
        </w:rPr>
        <w:t xml:space="preserve">  </w:t>
      </w:r>
      <w:r w:rsidR="002A01FF" w:rsidRPr="00CD3FCA">
        <w:rPr>
          <w:noProof/>
        </w:rPr>
        <w:t xml:space="preserve">  </w:t>
      </w:r>
      <w:r>
        <w:rPr>
          <w:noProof/>
        </w:rPr>
        <w:drawing>
          <wp:inline distT="0" distB="0" distL="0" distR="0" wp14:anchorId="367CD97E" wp14:editId="3805997C">
            <wp:extent cx="3100167" cy="2261235"/>
            <wp:effectExtent l="0" t="0" r="5080" b="5715"/>
            <wp:docPr id="79564536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7303" cy="2266440"/>
                    </a:xfrm>
                    <a:prstGeom prst="rect">
                      <a:avLst/>
                    </a:prstGeom>
                    <a:noFill/>
                  </pic:spPr>
                </pic:pic>
              </a:graphicData>
            </a:graphic>
          </wp:inline>
        </w:drawing>
      </w:r>
    </w:p>
    <w:p w14:paraId="7FF10263" w14:textId="77777777" w:rsidR="002A01FF" w:rsidRDefault="002A01FF" w:rsidP="002A01FF">
      <w:pPr>
        <w:tabs>
          <w:tab w:val="left" w:pos="-720"/>
          <w:tab w:val="left" w:pos="426"/>
        </w:tabs>
        <w:suppressAutoHyphens/>
        <w:spacing w:after="0" w:line="240" w:lineRule="auto"/>
        <w:jc w:val="both"/>
        <w:rPr>
          <w:rFonts w:eastAsia="Times New Roman" w:cs="Calibri"/>
          <w:b/>
          <w:caps/>
          <w:spacing w:val="-3"/>
          <w:szCs w:val="26"/>
          <w:lang w:val="en-GB" w:eastAsia="hr-HR"/>
        </w:rPr>
      </w:pPr>
    </w:p>
    <w:p w14:paraId="5BF59A82" w14:textId="75B8FDE5" w:rsidR="002A01FF" w:rsidRDefault="00F265C3" w:rsidP="002A01FF">
      <w:pPr>
        <w:tabs>
          <w:tab w:val="left" w:pos="-720"/>
          <w:tab w:val="left" w:pos="0"/>
          <w:tab w:val="left" w:pos="4820"/>
        </w:tabs>
        <w:suppressAutoHyphens/>
        <w:spacing w:after="0" w:line="240" w:lineRule="auto"/>
        <w:ind w:left="-426" w:right="-425"/>
        <w:jc w:val="both"/>
        <w:rPr>
          <w:rFonts w:eastAsia="Times New Roman" w:cs="Calibri"/>
          <w:b/>
          <w:caps/>
          <w:noProof/>
          <w:spacing w:val="-3"/>
          <w:szCs w:val="26"/>
          <w:lang w:val="en-GB" w:eastAsia="hr-HR"/>
        </w:rPr>
      </w:pPr>
      <w:r>
        <w:rPr>
          <w:rFonts w:eastAsia="Times New Roman" w:cs="Calibri"/>
          <w:b/>
          <w:caps/>
          <w:noProof/>
          <w:spacing w:val="-3"/>
          <w:szCs w:val="26"/>
          <w:lang w:val="en-GB" w:eastAsia="hr-HR"/>
        </w:rPr>
        <w:drawing>
          <wp:inline distT="0" distB="0" distL="0" distR="0" wp14:anchorId="33A777EF" wp14:editId="663D6035">
            <wp:extent cx="3155950" cy="2121535"/>
            <wp:effectExtent l="0" t="0" r="6350" b="0"/>
            <wp:docPr id="25949023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0853" cy="2131553"/>
                    </a:xfrm>
                    <a:prstGeom prst="rect">
                      <a:avLst/>
                    </a:prstGeom>
                    <a:noFill/>
                  </pic:spPr>
                </pic:pic>
              </a:graphicData>
            </a:graphic>
          </wp:inline>
        </w:drawing>
      </w:r>
      <w:r w:rsidR="002A01FF">
        <w:rPr>
          <w:rFonts w:eastAsia="Times New Roman" w:cs="Calibri"/>
          <w:b/>
          <w:caps/>
          <w:noProof/>
          <w:spacing w:val="-3"/>
          <w:szCs w:val="26"/>
          <w:lang w:val="en-GB" w:eastAsia="hr-HR"/>
        </w:rPr>
        <w:t xml:space="preserve">  </w:t>
      </w:r>
      <w:r>
        <w:rPr>
          <w:rFonts w:eastAsia="Times New Roman" w:cs="Calibri"/>
          <w:b/>
          <w:caps/>
          <w:noProof/>
          <w:spacing w:val="-3"/>
          <w:szCs w:val="26"/>
          <w:lang w:val="en-GB" w:eastAsia="hr-HR"/>
        </w:rPr>
        <w:t xml:space="preserve"> </w:t>
      </w:r>
      <w:r w:rsidR="002A01FF">
        <w:rPr>
          <w:rFonts w:eastAsia="Times New Roman" w:cs="Calibri"/>
          <w:b/>
          <w:caps/>
          <w:noProof/>
          <w:spacing w:val="-3"/>
          <w:szCs w:val="26"/>
          <w:lang w:val="en-GB" w:eastAsia="hr-HR"/>
        </w:rPr>
        <w:t xml:space="preserve"> </w:t>
      </w:r>
      <w:r w:rsidR="00416C9B">
        <w:rPr>
          <w:rFonts w:eastAsia="Times New Roman" w:cs="Calibri"/>
          <w:b/>
          <w:caps/>
          <w:noProof/>
          <w:spacing w:val="-3"/>
          <w:szCs w:val="26"/>
          <w:lang w:val="en-GB" w:eastAsia="hr-HR"/>
        </w:rPr>
        <w:t xml:space="preserve">  </w:t>
      </w:r>
      <w:r>
        <w:rPr>
          <w:rFonts w:eastAsia="Times New Roman" w:cs="Calibri"/>
          <w:b/>
          <w:caps/>
          <w:noProof/>
          <w:spacing w:val="-3"/>
          <w:szCs w:val="26"/>
          <w:lang w:val="en-GB" w:eastAsia="hr-HR"/>
        </w:rPr>
        <w:drawing>
          <wp:inline distT="0" distB="0" distL="0" distR="0" wp14:anchorId="6646B039" wp14:editId="393FF8ED">
            <wp:extent cx="3086100" cy="2121535"/>
            <wp:effectExtent l="0" t="0" r="0" b="0"/>
            <wp:docPr id="142390678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4640" cy="2141155"/>
                    </a:xfrm>
                    <a:prstGeom prst="rect">
                      <a:avLst/>
                    </a:prstGeom>
                    <a:noFill/>
                  </pic:spPr>
                </pic:pic>
              </a:graphicData>
            </a:graphic>
          </wp:inline>
        </w:drawing>
      </w:r>
    </w:p>
    <w:p w14:paraId="78354185" w14:textId="77777777" w:rsidR="002A01FF" w:rsidRDefault="002A01FF" w:rsidP="002A01FF">
      <w:pPr>
        <w:tabs>
          <w:tab w:val="left" w:pos="-720"/>
          <w:tab w:val="left" w:pos="426"/>
        </w:tabs>
        <w:suppressAutoHyphens/>
        <w:spacing w:after="0" w:line="240" w:lineRule="auto"/>
        <w:jc w:val="both"/>
        <w:rPr>
          <w:rFonts w:eastAsia="Times New Roman" w:cs="Calibri"/>
          <w:b/>
          <w:caps/>
          <w:noProof/>
          <w:spacing w:val="-3"/>
          <w:szCs w:val="26"/>
          <w:lang w:val="en-GB" w:eastAsia="hr-HR"/>
        </w:rPr>
      </w:pPr>
    </w:p>
    <w:p w14:paraId="652CF262" w14:textId="4486E05A" w:rsidR="003E6652" w:rsidRDefault="003E6652" w:rsidP="001D2396">
      <w:pPr>
        <w:tabs>
          <w:tab w:val="left" w:pos="-720"/>
          <w:tab w:val="left" w:pos="426"/>
        </w:tabs>
        <w:suppressAutoHyphens/>
        <w:spacing w:after="0" w:line="240" w:lineRule="auto"/>
        <w:jc w:val="both"/>
        <w:rPr>
          <w:rFonts w:eastAsia="Times New Roman" w:cs="Calibri"/>
          <w:b/>
          <w:caps/>
          <w:spacing w:val="-3"/>
          <w:szCs w:val="26"/>
          <w:lang w:val="en-GB" w:eastAsia="hr-HR"/>
        </w:rPr>
        <w:sectPr w:rsidR="003E6652" w:rsidSect="00811935">
          <w:footerReference w:type="default" r:id="rId16"/>
          <w:footerReference w:type="first" r:id="rId17"/>
          <w:pgSz w:w="11906" w:h="16838" w:code="9"/>
          <w:pgMar w:top="-383" w:right="1134" w:bottom="567" w:left="1418" w:header="709" w:footer="709" w:gutter="0"/>
          <w:pgNumType w:start="4"/>
          <w:cols w:space="708"/>
          <w:titlePg/>
          <w:docGrid w:linePitch="360"/>
        </w:sectPr>
      </w:pPr>
    </w:p>
    <w:p w14:paraId="7D2C795D" w14:textId="5193CB2F" w:rsidR="00A22253" w:rsidRDefault="001A1DF0"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r>
        <w:rPr>
          <w:rFonts w:eastAsia="Times New Roman" w:cs="Calibri"/>
          <w:b/>
          <w:caps/>
          <w:noProof/>
          <w:spacing w:val="-3"/>
          <w:szCs w:val="26"/>
          <w:lang w:val="en-GB" w:eastAsia="hr-HR"/>
        </w:rPr>
        <w:lastRenderedPageBreak/>
        <w:t xml:space="preserve"> </w:t>
      </w: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EC1CA7" w:rsidRDefault="00E842F7" w:rsidP="00E842F7">
      <w:pPr>
        <w:tabs>
          <w:tab w:val="left" w:pos="-720"/>
          <w:tab w:val="left" w:pos="426"/>
        </w:tabs>
        <w:suppressAutoHyphens/>
        <w:spacing w:after="0" w:line="240" w:lineRule="auto"/>
        <w:jc w:val="both"/>
        <w:rPr>
          <w:rFonts w:ascii="Arial" w:eastAsia="Times New Roman" w:hAnsi="Arial" w:cs="Arial"/>
          <w:b/>
          <w:spacing w:val="-3"/>
          <w:sz w:val="20"/>
          <w:szCs w:val="20"/>
          <w:lang w:val="en-GB" w:eastAsia="hr-HR"/>
        </w:rPr>
      </w:pPr>
      <w:r w:rsidRPr="00EC1CA7">
        <w:rPr>
          <w:rFonts w:ascii="Arial" w:eastAsia="Times New Roman" w:hAnsi="Arial" w:cs="Arial"/>
          <w:b/>
          <w:spacing w:val="-3"/>
          <w:sz w:val="20"/>
          <w:szCs w:val="20"/>
          <w:lang w:val="en-GB" w:eastAsia="hr-HR"/>
        </w:rPr>
        <w:t xml:space="preserve">Results of the Group </w:t>
      </w:r>
    </w:p>
    <w:p w14:paraId="7DFCB29F" w14:textId="77777777" w:rsidR="003E5F5C" w:rsidRPr="00EC1CA7" w:rsidRDefault="003E5F5C" w:rsidP="00794772">
      <w:pPr>
        <w:spacing w:after="0" w:line="240" w:lineRule="auto"/>
        <w:rPr>
          <w:rFonts w:ascii="Arial" w:eastAsia="Times New Roman" w:hAnsi="Arial" w:cs="Arial"/>
          <w:b/>
          <w:spacing w:val="-3"/>
          <w:sz w:val="20"/>
          <w:szCs w:val="20"/>
          <w:u w:val="single"/>
          <w:lang w:val="en-GB" w:eastAsia="hr-HR"/>
        </w:rPr>
      </w:pPr>
    </w:p>
    <w:p w14:paraId="625D8648" w14:textId="0F812FF4"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In the period 1 January – 3</w:t>
      </w:r>
      <w:r w:rsidR="00880354" w:rsidRPr="00EC1CA7">
        <w:rPr>
          <w:rFonts w:ascii="Arial" w:hAnsi="Arial" w:cs="Arial"/>
          <w:sz w:val="20"/>
          <w:szCs w:val="20"/>
          <w:lang w:val="en-GB"/>
        </w:rPr>
        <w:t>0</w:t>
      </w:r>
      <w:r w:rsidRPr="00EC1CA7">
        <w:rPr>
          <w:rFonts w:ascii="Arial" w:hAnsi="Arial" w:cs="Arial"/>
          <w:sz w:val="20"/>
          <w:szCs w:val="20"/>
          <w:lang w:val="en-GB"/>
        </w:rPr>
        <w:t xml:space="preserve"> </w:t>
      </w:r>
      <w:r w:rsidR="00880354" w:rsidRPr="00EC1CA7">
        <w:rPr>
          <w:rFonts w:ascii="Arial" w:hAnsi="Arial" w:cs="Arial"/>
          <w:sz w:val="20"/>
          <w:szCs w:val="20"/>
          <w:lang w:val="en-GB"/>
        </w:rPr>
        <w:t>June</w:t>
      </w:r>
      <w:r w:rsidRPr="00EC1CA7">
        <w:rPr>
          <w:rFonts w:ascii="Arial" w:hAnsi="Arial" w:cs="Arial"/>
          <w:sz w:val="20"/>
          <w:szCs w:val="20"/>
          <w:lang w:val="en-GB"/>
        </w:rPr>
        <w:t xml:space="preserve"> </w:t>
      </w:r>
      <w:r w:rsidR="001101C0" w:rsidRPr="00EC1CA7">
        <w:rPr>
          <w:rFonts w:ascii="Arial" w:hAnsi="Arial" w:cs="Arial"/>
          <w:sz w:val="20"/>
          <w:szCs w:val="20"/>
          <w:lang w:val="en-GB"/>
        </w:rPr>
        <w:t>20</w:t>
      </w:r>
      <w:r w:rsidR="00C02F4E" w:rsidRPr="00EC1CA7">
        <w:rPr>
          <w:rFonts w:ascii="Arial" w:hAnsi="Arial" w:cs="Arial"/>
          <w:sz w:val="20"/>
          <w:szCs w:val="20"/>
          <w:lang w:val="en-GB"/>
        </w:rPr>
        <w:t>2</w:t>
      </w:r>
      <w:r w:rsidR="002E20F5">
        <w:rPr>
          <w:rFonts w:ascii="Arial" w:hAnsi="Arial" w:cs="Arial"/>
          <w:sz w:val="20"/>
          <w:szCs w:val="20"/>
          <w:lang w:val="en-GB"/>
        </w:rPr>
        <w:t>5</w:t>
      </w:r>
      <w:r w:rsidRPr="00EC1CA7">
        <w:rPr>
          <w:rFonts w:ascii="Arial" w:hAnsi="Arial" w:cs="Arial"/>
          <w:sz w:val="20"/>
          <w:szCs w:val="20"/>
          <w:lang w:val="en-GB"/>
        </w:rPr>
        <w:t>, the</w:t>
      </w:r>
      <w:r w:rsidR="00794772" w:rsidRPr="00EC1CA7">
        <w:rPr>
          <w:rFonts w:ascii="Arial" w:hAnsi="Arial" w:cs="Arial"/>
          <w:sz w:val="20"/>
          <w:szCs w:val="20"/>
          <w:lang w:val="en-GB"/>
        </w:rPr>
        <w:t xml:space="preserve"> </w:t>
      </w:r>
      <w:r w:rsidRPr="00EC1CA7">
        <w:rPr>
          <w:rFonts w:ascii="Arial" w:hAnsi="Arial" w:cs="Arial"/>
          <w:sz w:val="20"/>
          <w:szCs w:val="20"/>
          <w:lang w:val="en-GB"/>
        </w:rPr>
        <w:t xml:space="preserve">HBOR Group generated profit after tax in the amount of </w:t>
      </w:r>
      <w:r w:rsidR="00C359B1">
        <w:rPr>
          <w:rFonts w:ascii="Arial" w:hAnsi="Arial" w:cs="Arial"/>
          <w:sz w:val="20"/>
          <w:szCs w:val="20"/>
          <w:lang w:val="en-GB"/>
        </w:rPr>
        <w:t>EUR</w:t>
      </w:r>
      <w:r w:rsidRPr="00EC1CA7">
        <w:rPr>
          <w:rFonts w:ascii="Arial" w:hAnsi="Arial" w:cs="Arial"/>
          <w:sz w:val="20"/>
          <w:szCs w:val="20"/>
          <w:lang w:val="en-GB"/>
        </w:rPr>
        <w:t xml:space="preserve"> </w:t>
      </w:r>
      <w:r w:rsidR="002E20F5">
        <w:rPr>
          <w:rFonts w:ascii="Arial" w:hAnsi="Arial" w:cs="Arial"/>
          <w:sz w:val="20"/>
          <w:szCs w:val="20"/>
          <w:lang w:val="en-GB"/>
        </w:rPr>
        <w:t>54.9</w:t>
      </w:r>
      <w:r w:rsidR="00794772" w:rsidRPr="00EC1CA7">
        <w:rPr>
          <w:rFonts w:ascii="Arial" w:hAnsi="Arial" w:cs="Arial"/>
          <w:sz w:val="20"/>
          <w:szCs w:val="20"/>
          <w:lang w:val="en-GB"/>
        </w:rPr>
        <w:t xml:space="preserve"> mil</w:t>
      </w:r>
      <w:r w:rsidRPr="00EC1CA7">
        <w:rPr>
          <w:rFonts w:ascii="Arial" w:hAnsi="Arial" w:cs="Arial"/>
          <w:sz w:val="20"/>
          <w:szCs w:val="20"/>
          <w:lang w:val="en-GB"/>
        </w:rPr>
        <w:t>lion</w:t>
      </w:r>
      <w:r w:rsidR="00794772" w:rsidRPr="00EC1CA7">
        <w:rPr>
          <w:rFonts w:ascii="Arial" w:hAnsi="Arial" w:cs="Arial"/>
          <w:sz w:val="20"/>
          <w:szCs w:val="20"/>
          <w:lang w:val="en-GB"/>
        </w:rPr>
        <w:t xml:space="preserve">. </w:t>
      </w:r>
    </w:p>
    <w:p w14:paraId="38F55033" w14:textId="77777777" w:rsidR="00794772" w:rsidRPr="00EC1CA7" w:rsidRDefault="00794772" w:rsidP="00794772">
      <w:pPr>
        <w:spacing w:after="0" w:line="240" w:lineRule="auto"/>
        <w:jc w:val="both"/>
        <w:rPr>
          <w:rFonts w:ascii="Arial" w:hAnsi="Arial" w:cs="Arial"/>
          <w:sz w:val="20"/>
          <w:szCs w:val="20"/>
          <w:lang w:val="en-GB"/>
        </w:rPr>
      </w:pPr>
    </w:p>
    <w:p w14:paraId="3612786A" w14:textId="77777777"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Pursuant to the provisions of the Act on HBOR, the parent company is exempt from income tax and income tax liabilities arise exclusively from the activities of the other members of the Group</w:t>
      </w:r>
      <w:r w:rsidR="00794772" w:rsidRPr="00EC1CA7">
        <w:rPr>
          <w:rFonts w:ascii="Arial" w:hAnsi="Arial" w:cs="Arial"/>
          <w:sz w:val="20"/>
          <w:szCs w:val="20"/>
          <w:lang w:val="en-GB"/>
        </w:rPr>
        <w:t>.</w:t>
      </w:r>
    </w:p>
    <w:p w14:paraId="7DA243B6" w14:textId="77777777" w:rsidR="00794772" w:rsidRPr="00EC1CA7" w:rsidRDefault="00794772" w:rsidP="00794772">
      <w:pPr>
        <w:spacing w:after="0" w:line="240" w:lineRule="auto"/>
        <w:jc w:val="both"/>
        <w:rPr>
          <w:rFonts w:ascii="Arial" w:hAnsi="Arial" w:cs="Arial"/>
          <w:sz w:val="20"/>
          <w:szCs w:val="20"/>
          <w:lang w:val="en-GB"/>
        </w:rPr>
      </w:pPr>
    </w:p>
    <w:p w14:paraId="550C88B7" w14:textId="25C73391"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 xml:space="preserve">In the period 1 January – </w:t>
      </w:r>
      <w:r w:rsidR="00880354" w:rsidRPr="00EC1CA7">
        <w:rPr>
          <w:rFonts w:ascii="Arial" w:hAnsi="Arial" w:cs="Arial"/>
          <w:sz w:val="20"/>
          <w:szCs w:val="20"/>
          <w:lang w:val="en-GB"/>
        </w:rPr>
        <w:t xml:space="preserve">30 June </w:t>
      </w:r>
      <w:r w:rsidRPr="00EC1CA7">
        <w:rPr>
          <w:rFonts w:ascii="Arial" w:hAnsi="Arial" w:cs="Arial"/>
          <w:sz w:val="20"/>
          <w:szCs w:val="20"/>
          <w:lang w:val="en-GB"/>
        </w:rPr>
        <w:t>20</w:t>
      </w:r>
      <w:r w:rsidR="00C66DD7" w:rsidRPr="00EC1CA7">
        <w:rPr>
          <w:rFonts w:ascii="Arial" w:hAnsi="Arial" w:cs="Arial"/>
          <w:sz w:val="20"/>
          <w:szCs w:val="20"/>
          <w:lang w:val="en-GB"/>
        </w:rPr>
        <w:t>2</w:t>
      </w:r>
      <w:r w:rsidR="002E20F5">
        <w:rPr>
          <w:rFonts w:ascii="Arial" w:hAnsi="Arial" w:cs="Arial"/>
          <w:sz w:val="20"/>
          <w:szCs w:val="20"/>
          <w:lang w:val="en-GB"/>
        </w:rPr>
        <w:t>5</w:t>
      </w:r>
      <w:r w:rsidRPr="00EC1CA7">
        <w:rPr>
          <w:rFonts w:ascii="Arial" w:hAnsi="Arial" w:cs="Arial"/>
          <w:sz w:val="20"/>
          <w:szCs w:val="20"/>
          <w:lang w:val="en-GB"/>
        </w:rPr>
        <w:t xml:space="preserve">, total income on consolidated basis amounted to </w:t>
      </w:r>
      <w:r w:rsidR="00C359B1">
        <w:rPr>
          <w:rFonts w:ascii="Arial" w:hAnsi="Arial" w:cs="Arial"/>
          <w:sz w:val="20"/>
          <w:szCs w:val="20"/>
          <w:lang w:val="en-GB"/>
        </w:rPr>
        <w:t>EUR</w:t>
      </w:r>
      <w:r w:rsidR="00914021" w:rsidRPr="00EC1CA7">
        <w:rPr>
          <w:rFonts w:ascii="Arial" w:hAnsi="Arial" w:cs="Arial"/>
          <w:sz w:val="20"/>
          <w:szCs w:val="20"/>
          <w:lang w:val="en-GB"/>
        </w:rPr>
        <w:t xml:space="preserve"> </w:t>
      </w:r>
      <w:r w:rsidR="002E20F5">
        <w:rPr>
          <w:rFonts w:ascii="Arial" w:hAnsi="Arial" w:cs="Arial"/>
          <w:sz w:val="20"/>
          <w:szCs w:val="20"/>
          <w:lang w:val="en-GB"/>
        </w:rPr>
        <w:t>102.9</w:t>
      </w:r>
      <w:r w:rsidR="00794772" w:rsidRPr="00EC1CA7">
        <w:rPr>
          <w:rFonts w:ascii="Arial" w:hAnsi="Arial" w:cs="Arial"/>
          <w:sz w:val="20"/>
          <w:szCs w:val="20"/>
          <w:lang w:val="en-GB"/>
        </w:rPr>
        <w:t xml:space="preserve"> mil</w:t>
      </w:r>
      <w:r w:rsidRPr="00EC1CA7">
        <w:rPr>
          <w:rFonts w:ascii="Arial" w:hAnsi="Arial" w:cs="Arial"/>
          <w:sz w:val="20"/>
          <w:szCs w:val="20"/>
          <w:lang w:val="en-GB"/>
        </w:rPr>
        <w:t>lion</w:t>
      </w:r>
      <w:r w:rsidR="00794772" w:rsidRPr="00EC1CA7">
        <w:rPr>
          <w:rFonts w:ascii="Arial" w:hAnsi="Arial" w:cs="Arial"/>
          <w:sz w:val="20"/>
          <w:szCs w:val="20"/>
          <w:lang w:val="en-GB"/>
        </w:rPr>
        <w:t xml:space="preserve">, </w:t>
      </w:r>
      <w:r w:rsidRPr="00EC1CA7">
        <w:rPr>
          <w:rFonts w:ascii="Arial" w:hAnsi="Arial" w:cs="Arial"/>
          <w:sz w:val="20"/>
          <w:szCs w:val="20"/>
          <w:lang w:val="en-GB"/>
        </w:rPr>
        <w:t xml:space="preserve">whereas total expenses amounted to </w:t>
      </w:r>
      <w:r w:rsidR="00C359B1">
        <w:rPr>
          <w:rFonts w:ascii="Arial" w:hAnsi="Arial" w:cs="Arial"/>
          <w:sz w:val="20"/>
          <w:szCs w:val="20"/>
          <w:lang w:val="en-GB"/>
        </w:rPr>
        <w:t>EUR</w:t>
      </w:r>
      <w:r w:rsidRPr="00EC1CA7">
        <w:rPr>
          <w:rFonts w:ascii="Arial" w:hAnsi="Arial" w:cs="Arial"/>
          <w:sz w:val="20"/>
          <w:szCs w:val="20"/>
          <w:lang w:val="en-GB"/>
        </w:rPr>
        <w:t xml:space="preserve"> </w:t>
      </w:r>
      <w:r w:rsidR="002E20F5">
        <w:rPr>
          <w:rFonts w:ascii="Arial" w:hAnsi="Arial" w:cs="Arial"/>
          <w:sz w:val="20"/>
          <w:szCs w:val="20"/>
          <w:lang w:val="en-GB"/>
        </w:rPr>
        <w:t>4</w:t>
      </w:r>
      <w:r w:rsidR="00C359B1">
        <w:rPr>
          <w:rFonts w:ascii="Arial" w:hAnsi="Arial" w:cs="Arial"/>
          <w:sz w:val="20"/>
          <w:szCs w:val="20"/>
          <w:lang w:val="en-GB"/>
        </w:rPr>
        <w:t>8.</w:t>
      </w:r>
      <w:r w:rsidR="0034519D">
        <w:rPr>
          <w:rFonts w:ascii="Arial" w:hAnsi="Arial" w:cs="Arial"/>
          <w:sz w:val="20"/>
          <w:szCs w:val="20"/>
          <w:lang w:val="en-GB"/>
        </w:rPr>
        <w:t>0</w:t>
      </w:r>
      <w:r w:rsidR="00794772" w:rsidRPr="00EC1CA7">
        <w:rPr>
          <w:rFonts w:ascii="Arial" w:hAnsi="Arial" w:cs="Arial"/>
          <w:sz w:val="20"/>
          <w:szCs w:val="20"/>
          <w:lang w:val="en-GB"/>
        </w:rPr>
        <w:t xml:space="preserve"> mil</w:t>
      </w:r>
      <w:r w:rsidRPr="00EC1CA7">
        <w:rPr>
          <w:rFonts w:ascii="Arial" w:hAnsi="Arial" w:cs="Arial"/>
          <w:sz w:val="20"/>
          <w:szCs w:val="20"/>
          <w:lang w:val="en-GB"/>
        </w:rPr>
        <w:t>lion</w:t>
      </w:r>
      <w:r w:rsidR="00794772" w:rsidRPr="00EC1CA7">
        <w:rPr>
          <w:rFonts w:ascii="Arial" w:hAnsi="Arial" w:cs="Arial"/>
          <w:sz w:val="20"/>
          <w:szCs w:val="20"/>
          <w:lang w:val="en-GB"/>
        </w:rPr>
        <w:t>.</w:t>
      </w:r>
    </w:p>
    <w:p w14:paraId="5CE5A806" w14:textId="77777777" w:rsidR="00794772" w:rsidRPr="00EC1CA7" w:rsidRDefault="00794772" w:rsidP="00794772">
      <w:pPr>
        <w:spacing w:after="0" w:line="240" w:lineRule="auto"/>
        <w:jc w:val="both"/>
        <w:rPr>
          <w:rFonts w:ascii="Arial" w:hAnsi="Arial" w:cs="Arial"/>
          <w:sz w:val="20"/>
          <w:szCs w:val="20"/>
          <w:lang w:val="en-GB"/>
        </w:rPr>
      </w:pPr>
    </w:p>
    <w:p w14:paraId="716BDC52" w14:textId="6BEC1432"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The consolidated total income</w:t>
      </w:r>
      <w:r w:rsidR="00CE543A">
        <w:rPr>
          <w:rFonts w:ascii="Arial" w:hAnsi="Arial" w:cs="Arial"/>
          <w:sz w:val="20"/>
          <w:szCs w:val="20"/>
          <w:lang w:val="en-GB"/>
        </w:rPr>
        <w:t xml:space="preserve"> </w:t>
      </w:r>
      <w:r w:rsidR="0034519D">
        <w:rPr>
          <w:rFonts w:ascii="Arial" w:hAnsi="Arial" w:cs="Arial"/>
          <w:sz w:val="20"/>
          <w:szCs w:val="20"/>
          <w:lang w:val="en-GB"/>
        </w:rPr>
        <w:t>in</w:t>
      </w:r>
      <w:r w:rsidR="00CE543A">
        <w:rPr>
          <w:rFonts w:ascii="Arial" w:hAnsi="Arial" w:cs="Arial"/>
          <w:sz w:val="20"/>
          <w:szCs w:val="20"/>
          <w:lang w:val="en-GB"/>
        </w:rPr>
        <w:t>creased</w:t>
      </w:r>
      <w:r w:rsidRPr="00EC1CA7">
        <w:rPr>
          <w:rFonts w:ascii="Arial" w:hAnsi="Arial" w:cs="Arial"/>
          <w:sz w:val="20"/>
          <w:szCs w:val="20"/>
          <w:lang w:val="en-GB"/>
        </w:rPr>
        <w:t xml:space="preserve"> by</w:t>
      </w:r>
      <w:r w:rsidR="00794772" w:rsidRPr="00EC1CA7">
        <w:rPr>
          <w:rFonts w:ascii="Arial" w:hAnsi="Arial" w:cs="Arial"/>
          <w:sz w:val="20"/>
          <w:szCs w:val="20"/>
          <w:lang w:val="en-GB"/>
        </w:rPr>
        <w:t xml:space="preserve"> </w:t>
      </w:r>
      <w:r w:rsidR="002E20F5">
        <w:rPr>
          <w:rFonts w:ascii="Arial" w:hAnsi="Arial" w:cs="Arial"/>
          <w:sz w:val="20"/>
          <w:szCs w:val="20"/>
          <w:lang w:val="en-GB"/>
        </w:rPr>
        <w:t>34</w:t>
      </w:r>
      <w:r w:rsidR="001805FF" w:rsidRPr="00EC1CA7">
        <w:rPr>
          <w:rFonts w:ascii="Arial" w:hAnsi="Arial" w:cs="Arial"/>
          <w:sz w:val="20"/>
          <w:szCs w:val="20"/>
          <w:lang w:val="en-GB"/>
        </w:rPr>
        <w:t>.</w:t>
      </w:r>
      <w:r w:rsidR="002E20F5">
        <w:rPr>
          <w:rFonts w:ascii="Arial" w:hAnsi="Arial" w:cs="Arial"/>
          <w:sz w:val="20"/>
          <w:szCs w:val="20"/>
          <w:lang w:val="en-GB"/>
        </w:rPr>
        <w:t>5</w:t>
      </w:r>
      <w:r w:rsidR="00CE543A" w:rsidRPr="00EC1CA7">
        <w:rPr>
          <w:rFonts w:ascii="Arial" w:hAnsi="Arial" w:cs="Arial"/>
          <w:sz w:val="20"/>
          <w:szCs w:val="20"/>
          <w:lang w:val="en-GB"/>
        </w:rPr>
        <w:t xml:space="preserve"> </w:t>
      </w:r>
      <w:r w:rsidR="00417B56" w:rsidRPr="00EC1CA7">
        <w:rPr>
          <w:rFonts w:ascii="Arial" w:hAnsi="Arial" w:cs="Arial"/>
          <w:sz w:val="20"/>
          <w:szCs w:val="20"/>
          <w:lang w:val="en-GB"/>
        </w:rPr>
        <w:t>p</w:t>
      </w:r>
      <w:r w:rsidRPr="00EC1CA7">
        <w:rPr>
          <w:rFonts w:ascii="Arial" w:hAnsi="Arial" w:cs="Arial"/>
          <w:sz w:val="20"/>
          <w:szCs w:val="20"/>
          <w:lang w:val="en-GB"/>
        </w:rPr>
        <w:t>ercent, whereas total expenses</w:t>
      </w:r>
      <w:r w:rsidR="003A289A" w:rsidRPr="00EC1CA7">
        <w:rPr>
          <w:rFonts w:ascii="Arial" w:hAnsi="Arial" w:cs="Arial"/>
          <w:sz w:val="20"/>
          <w:szCs w:val="20"/>
          <w:lang w:val="en-GB"/>
        </w:rPr>
        <w:t xml:space="preserve"> </w:t>
      </w:r>
      <w:r w:rsidR="00F70171">
        <w:rPr>
          <w:rFonts w:ascii="Arial" w:hAnsi="Arial" w:cs="Arial"/>
          <w:sz w:val="20"/>
          <w:szCs w:val="20"/>
          <w:lang w:val="en-GB"/>
        </w:rPr>
        <w:t>increased</w:t>
      </w:r>
      <w:r w:rsidR="00F70171" w:rsidRPr="00EC1CA7">
        <w:rPr>
          <w:rFonts w:ascii="Arial" w:hAnsi="Arial" w:cs="Arial"/>
          <w:sz w:val="20"/>
          <w:szCs w:val="20"/>
          <w:lang w:val="en-GB"/>
        </w:rPr>
        <w:t xml:space="preserve"> </w:t>
      </w:r>
      <w:r w:rsidRPr="00EC1CA7">
        <w:rPr>
          <w:rFonts w:ascii="Arial" w:hAnsi="Arial" w:cs="Arial"/>
          <w:sz w:val="20"/>
          <w:szCs w:val="20"/>
          <w:lang w:val="en-GB"/>
        </w:rPr>
        <w:t xml:space="preserve">by </w:t>
      </w:r>
      <w:r w:rsidR="002E20F5">
        <w:rPr>
          <w:rFonts w:ascii="Arial" w:hAnsi="Arial" w:cs="Arial"/>
          <w:sz w:val="20"/>
          <w:szCs w:val="20"/>
          <w:lang w:val="en-GB"/>
        </w:rPr>
        <w:t>26.3</w:t>
      </w:r>
      <w:r w:rsidR="00F70171" w:rsidRPr="00EC1CA7">
        <w:rPr>
          <w:rFonts w:ascii="Arial" w:hAnsi="Arial" w:cs="Arial"/>
          <w:sz w:val="20"/>
          <w:szCs w:val="20"/>
          <w:lang w:val="en-GB"/>
        </w:rPr>
        <w:t xml:space="preserve"> </w:t>
      </w:r>
      <w:r w:rsidR="00417B56" w:rsidRPr="00EC1CA7">
        <w:rPr>
          <w:rFonts w:ascii="Arial" w:hAnsi="Arial" w:cs="Arial"/>
          <w:sz w:val="20"/>
          <w:szCs w:val="20"/>
          <w:lang w:val="en-GB"/>
        </w:rPr>
        <w:t>p</w:t>
      </w:r>
      <w:r w:rsidRPr="00EC1CA7">
        <w:rPr>
          <w:rFonts w:ascii="Arial" w:hAnsi="Arial" w:cs="Arial"/>
          <w:sz w:val="20"/>
          <w:szCs w:val="20"/>
          <w:lang w:val="en-GB"/>
        </w:rPr>
        <w:t>ercent compared to the same period previous year due to the developments in total income and expenses of the parent company</w:t>
      </w:r>
      <w:r w:rsidR="00794772" w:rsidRPr="00EC1CA7">
        <w:rPr>
          <w:rFonts w:ascii="Arial" w:hAnsi="Arial" w:cs="Arial"/>
          <w:sz w:val="20"/>
          <w:szCs w:val="20"/>
          <w:lang w:val="en-GB"/>
        </w:rPr>
        <w:t>.</w:t>
      </w:r>
    </w:p>
    <w:p w14:paraId="51F03671" w14:textId="77777777" w:rsidR="00794772" w:rsidRPr="00EC1CA7" w:rsidRDefault="00794772" w:rsidP="00794772">
      <w:pPr>
        <w:spacing w:after="0" w:line="240" w:lineRule="auto"/>
        <w:jc w:val="both"/>
        <w:rPr>
          <w:rFonts w:ascii="Arial" w:hAnsi="Arial" w:cs="Arial"/>
          <w:sz w:val="20"/>
          <w:szCs w:val="20"/>
          <w:lang w:val="en-GB"/>
        </w:rPr>
      </w:pPr>
    </w:p>
    <w:p w14:paraId="0765623F" w14:textId="557B9D70" w:rsidR="00794772" w:rsidRPr="00EC1CA7" w:rsidRDefault="00E842F7"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 xml:space="preserve">In the structure of income of the Group, the largest portion, i.e. </w:t>
      </w:r>
      <w:r w:rsidR="002E20F5">
        <w:rPr>
          <w:rFonts w:ascii="Arial" w:hAnsi="Arial" w:cs="Arial"/>
          <w:sz w:val="20"/>
          <w:szCs w:val="20"/>
          <w:lang w:val="en-GB"/>
        </w:rPr>
        <w:t>57</w:t>
      </w:r>
      <w:r w:rsidR="001805FF" w:rsidRPr="00EC1CA7">
        <w:rPr>
          <w:rFonts w:ascii="Arial" w:hAnsi="Arial" w:cs="Arial"/>
          <w:sz w:val="20"/>
          <w:szCs w:val="20"/>
          <w:lang w:val="en-GB"/>
        </w:rPr>
        <w:t>.</w:t>
      </w:r>
      <w:r w:rsidR="002E20F5">
        <w:rPr>
          <w:rFonts w:ascii="Arial" w:hAnsi="Arial" w:cs="Arial"/>
          <w:sz w:val="20"/>
          <w:szCs w:val="20"/>
          <w:lang w:val="en-GB"/>
        </w:rPr>
        <w:t>0</w:t>
      </w:r>
      <w:r w:rsidR="00F70171" w:rsidRPr="00EC1CA7">
        <w:rPr>
          <w:rFonts w:ascii="Arial" w:hAnsi="Arial" w:cs="Arial"/>
          <w:sz w:val="20"/>
          <w:szCs w:val="20"/>
          <w:lang w:val="en-GB"/>
        </w:rPr>
        <w:t xml:space="preserve"> </w:t>
      </w:r>
      <w:r w:rsidR="00417B56" w:rsidRPr="00EC1CA7">
        <w:rPr>
          <w:rFonts w:ascii="Arial" w:hAnsi="Arial" w:cs="Arial"/>
          <w:sz w:val="20"/>
          <w:szCs w:val="20"/>
          <w:lang w:val="en-GB"/>
        </w:rPr>
        <w:t>p</w:t>
      </w:r>
      <w:r w:rsidRPr="00EC1CA7">
        <w:rPr>
          <w:rFonts w:ascii="Arial" w:hAnsi="Arial" w:cs="Arial"/>
          <w:sz w:val="20"/>
          <w:szCs w:val="20"/>
          <w:lang w:val="en-GB"/>
        </w:rPr>
        <w:t>ercent, relates to</w:t>
      </w:r>
      <w:r w:rsidR="00794772" w:rsidRPr="00EC1CA7">
        <w:rPr>
          <w:rFonts w:ascii="Arial" w:hAnsi="Arial" w:cs="Arial"/>
          <w:sz w:val="20"/>
          <w:szCs w:val="20"/>
          <w:lang w:val="en-GB"/>
        </w:rPr>
        <w:t xml:space="preserve"> </w:t>
      </w:r>
      <w:r w:rsidRPr="00EC1CA7">
        <w:rPr>
          <w:rFonts w:ascii="Arial" w:hAnsi="Arial" w:cs="Arial"/>
          <w:sz w:val="20"/>
          <w:szCs w:val="20"/>
          <w:lang w:val="en-GB"/>
        </w:rPr>
        <w:t xml:space="preserve">interest income </w:t>
      </w:r>
      <w:proofErr w:type="gramStart"/>
      <w:r w:rsidRPr="00EC1CA7">
        <w:rPr>
          <w:rFonts w:ascii="Arial" w:hAnsi="Arial" w:cs="Arial"/>
          <w:sz w:val="20"/>
          <w:szCs w:val="20"/>
          <w:lang w:val="en-GB"/>
        </w:rPr>
        <w:t>as a result of</w:t>
      </w:r>
      <w:proofErr w:type="gramEnd"/>
      <w:r w:rsidRPr="00EC1CA7">
        <w:rPr>
          <w:rFonts w:ascii="Arial" w:hAnsi="Arial" w:cs="Arial"/>
          <w:sz w:val="20"/>
          <w:szCs w:val="20"/>
          <w:lang w:val="en-GB"/>
        </w:rPr>
        <w:t xml:space="preserve"> operations of the parent company</w:t>
      </w:r>
      <w:r w:rsidR="00794772" w:rsidRPr="00EC1CA7">
        <w:rPr>
          <w:rFonts w:ascii="Arial" w:hAnsi="Arial" w:cs="Arial"/>
          <w:sz w:val="20"/>
          <w:szCs w:val="20"/>
          <w:lang w:val="en-GB"/>
        </w:rPr>
        <w:t>.</w:t>
      </w:r>
    </w:p>
    <w:p w14:paraId="5776D284" w14:textId="77777777" w:rsidR="00794772" w:rsidRPr="00EC1CA7" w:rsidRDefault="00794772" w:rsidP="00794772">
      <w:pPr>
        <w:spacing w:after="0" w:line="240" w:lineRule="auto"/>
        <w:jc w:val="both"/>
        <w:rPr>
          <w:rFonts w:ascii="Arial" w:hAnsi="Arial" w:cs="Arial"/>
          <w:sz w:val="20"/>
          <w:szCs w:val="20"/>
          <w:lang w:val="en-GB"/>
        </w:rPr>
      </w:pPr>
    </w:p>
    <w:p w14:paraId="047704AC" w14:textId="0015EB1F" w:rsidR="00794772" w:rsidRPr="00EC1CA7" w:rsidRDefault="00E842F7" w:rsidP="00794772">
      <w:pPr>
        <w:spacing w:after="0" w:line="240" w:lineRule="auto"/>
        <w:jc w:val="both"/>
        <w:rPr>
          <w:rFonts w:ascii="Arial" w:hAnsi="Arial" w:cs="Arial"/>
          <w:sz w:val="20"/>
          <w:szCs w:val="20"/>
          <w:lang w:val="en-GB"/>
        </w:rPr>
      </w:pPr>
      <w:proofErr w:type="gramStart"/>
      <w:r w:rsidRPr="00EC1CA7">
        <w:rPr>
          <w:rFonts w:ascii="Arial" w:hAnsi="Arial" w:cs="Arial"/>
          <w:sz w:val="20"/>
          <w:szCs w:val="20"/>
          <w:lang w:val="en-GB"/>
        </w:rPr>
        <w:t>The</w:t>
      </w:r>
      <w:proofErr w:type="gramEnd"/>
      <w:r w:rsidRPr="00EC1CA7">
        <w:rPr>
          <w:rFonts w:ascii="Arial" w:hAnsi="Arial" w:cs="Arial"/>
          <w:sz w:val="20"/>
          <w:szCs w:val="20"/>
          <w:lang w:val="en-GB"/>
        </w:rPr>
        <w:t xml:space="preserve"> major part of total expenses, relates to</w:t>
      </w:r>
      <w:r w:rsidR="0034519D">
        <w:rPr>
          <w:rFonts w:ascii="Arial" w:hAnsi="Arial" w:cs="Arial"/>
          <w:sz w:val="20"/>
          <w:szCs w:val="20"/>
          <w:lang w:val="en-GB"/>
        </w:rPr>
        <w:t xml:space="preserve"> interest expense</w:t>
      </w:r>
      <w:r w:rsidR="002E20F5">
        <w:rPr>
          <w:rFonts w:ascii="Arial" w:hAnsi="Arial" w:cs="Arial"/>
          <w:sz w:val="20"/>
          <w:szCs w:val="20"/>
          <w:lang w:val="en-GB"/>
        </w:rPr>
        <w:t>, i.e. 50.4</w:t>
      </w:r>
      <w:r w:rsidR="0034519D">
        <w:rPr>
          <w:rFonts w:ascii="Arial" w:hAnsi="Arial" w:cs="Arial"/>
          <w:sz w:val="20"/>
          <w:szCs w:val="20"/>
          <w:lang w:val="en-GB"/>
        </w:rPr>
        <w:t xml:space="preserve"> percent</w:t>
      </w:r>
      <w:r w:rsidR="002E20F5">
        <w:rPr>
          <w:rFonts w:ascii="Arial" w:hAnsi="Arial" w:cs="Arial"/>
          <w:sz w:val="20"/>
          <w:szCs w:val="20"/>
          <w:lang w:val="en-GB"/>
        </w:rPr>
        <w:t>,</w:t>
      </w:r>
      <w:r w:rsidR="0034519D">
        <w:rPr>
          <w:rFonts w:ascii="Arial" w:hAnsi="Arial" w:cs="Arial"/>
          <w:sz w:val="20"/>
          <w:szCs w:val="20"/>
          <w:lang w:val="en-GB"/>
        </w:rPr>
        <w:t xml:space="preserve"> </w:t>
      </w:r>
      <w:r w:rsidRPr="00EC1CA7">
        <w:rPr>
          <w:rFonts w:ascii="Arial" w:hAnsi="Arial" w:cs="Arial"/>
          <w:sz w:val="20"/>
          <w:szCs w:val="20"/>
          <w:lang w:val="en-GB"/>
        </w:rPr>
        <w:t>arising from the operations of the parent company</w:t>
      </w:r>
      <w:r w:rsidR="00794772" w:rsidRPr="00EC1CA7">
        <w:rPr>
          <w:rFonts w:ascii="Arial" w:hAnsi="Arial" w:cs="Arial"/>
          <w:sz w:val="20"/>
          <w:szCs w:val="20"/>
          <w:lang w:val="en-GB"/>
        </w:rPr>
        <w:t>.</w:t>
      </w:r>
    </w:p>
    <w:p w14:paraId="64FAF17B" w14:textId="77777777" w:rsidR="00794772" w:rsidRPr="00EC1CA7" w:rsidRDefault="00794772" w:rsidP="00794772">
      <w:pPr>
        <w:spacing w:after="0" w:line="240" w:lineRule="auto"/>
        <w:jc w:val="both"/>
        <w:rPr>
          <w:rFonts w:ascii="Arial" w:hAnsi="Arial" w:cs="Arial"/>
          <w:sz w:val="20"/>
          <w:szCs w:val="20"/>
          <w:lang w:val="en-GB"/>
        </w:rPr>
      </w:pPr>
    </w:p>
    <w:p w14:paraId="0A0EE1F7" w14:textId="296B5FF9" w:rsidR="00794772" w:rsidRPr="00EC1CA7" w:rsidRDefault="00D01244" w:rsidP="00794772">
      <w:pPr>
        <w:spacing w:after="0" w:line="240" w:lineRule="auto"/>
        <w:jc w:val="both"/>
        <w:rPr>
          <w:rFonts w:ascii="Arial" w:hAnsi="Arial" w:cs="Arial"/>
          <w:sz w:val="20"/>
          <w:szCs w:val="20"/>
          <w:lang w:val="en-GB"/>
        </w:rPr>
      </w:pPr>
      <w:r w:rsidRPr="00EC1CA7">
        <w:rPr>
          <w:rFonts w:ascii="Arial" w:hAnsi="Arial" w:cs="Arial"/>
          <w:sz w:val="20"/>
          <w:szCs w:val="20"/>
          <w:lang w:val="en-GB"/>
        </w:rPr>
        <w:t>The consolidated operating expenses in the period 1 January – 3</w:t>
      </w:r>
      <w:r w:rsidR="002277BB" w:rsidRPr="00EC1CA7">
        <w:rPr>
          <w:rFonts w:ascii="Arial" w:hAnsi="Arial" w:cs="Arial"/>
          <w:sz w:val="20"/>
          <w:szCs w:val="20"/>
          <w:lang w:val="en-GB"/>
        </w:rPr>
        <w:t>0</w:t>
      </w:r>
      <w:r w:rsidRPr="00EC1CA7">
        <w:rPr>
          <w:rFonts w:ascii="Arial" w:hAnsi="Arial" w:cs="Arial"/>
          <w:sz w:val="20"/>
          <w:szCs w:val="20"/>
          <w:lang w:val="en-GB"/>
        </w:rPr>
        <w:t xml:space="preserve"> </w:t>
      </w:r>
      <w:r w:rsidR="002277BB" w:rsidRPr="00EC1CA7">
        <w:rPr>
          <w:rFonts w:ascii="Arial" w:hAnsi="Arial" w:cs="Arial"/>
          <w:sz w:val="20"/>
          <w:szCs w:val="20"/>
          <w:lang w:val="en-GB"/>
        </w:rPr>
        <w:t>June</w:t>
      </w:r>
      <w:r w:rsidRPr="00EC1CA7">
        <w:rPr>
          <w:rFonts w:ascii="Arial" w:hAnsi="Arial" w:cs="Arial"/>
          <w:sz w:val="20"/>
          <w:szCs w:val="20"/>
          <w:lang w:val="en-GB"/>
        </w:rPr>
        <w:t xml:space="preserve"> </w:t>
      </w:r>
      <w:r w:rsidR="001101C0" w:rsidRPr="00EC1CA7">
        <w:rPr>
          <w:rFonts w:ascii="Arial" w:hAnsi="Arial" w:cs="Arial"/>
          <w:sz w:val="20"/>
          <w:szCs w:val="20"/>
          <w:lang w:val="en-GB"/>
        </w:rPr>
        <w:t>20</w:t>
      </w:r>
      <w:r w:rsidR="00C66DD7" w:rsidRPr="00EC1CA7">
        <w:rPr>
          <w:rFonts w:ascii="Arial" w:hAnsi="Arial" w:cs="Arial"/>
          <w:sz w:val="20"/>
          <w:szCs w:val="20"/>
          <w:lang w:val="en-GB"/>
        </w:rPr>
        <w:t>2</w:t>
      </w:r>
      <w:r w:rsidR="002E20F5">
        <w:rPr>
          <w:rFonts w:ascii="Arial" w:hAnsi="Arial" w:cs="Arial"/>
          <w:sz w:val="20"/>
          <w:szCs w:val="20"/>
          <w:lang w:val="en-GB"/>
        </w:rPr>
        <w:t>5</w:t>
      </w:r>
      <w:r w:rsidRPr="00EC1CA7">
        <w:rPr>
          <w:rFonts w:ascii="Arial" w:hAnsi="Arial" w:cs="Arial"/>
          <w:sz w:val="20"/>
          <w:szCs w:val="20"/>
          <w:lang w:val="en-GB"/>
        </w:rPr>
        <w:t xml:space="preserve"> amounted to</w:t>
      </w:r>
      <w:r w:rsidR="00794772" w:rsidRPr="00EC1CA7">
        <w:rPr>
          <w:rFonts w:ascii="Arial" w:hAnsi="Arial" w:cs="Arial"/>
          <w:sz w:val="20"/>
          <w:szCs w:val="20"/>
          <w:lang w:val="en-GB"/>
        </w:rPr>
        <w:t xml:space="preserve"> </w:t>
      </w:r>
      <w:r w:rsidR="00F70171">
        <w:rPr>
          <w:rFonts w:ascii="Arial" w:hAnsi="Arial" w:cs="Arial"/>
          <w:sz w:val="20"/>
          <w:szCs w:val="20"/>
          <w:lang w:val="en-GB"/>
        </w:rPr>
        <w:t>EUR</w:t>
      </w:r>
      <w:r w:rsidR="00F70171" w:rsidRPr="00EC1CA7">
        <w:rPr>
          <w:rFonts w:ascii="Arial" w:hAnsi="Arial" w:cs="Arial"/>
          <w:sz w:val="20"/>
          <w:szCs w:val="20"/>
          <w:lang w:val="en-GB"/>
        </w:rPr>
        <w:t xml:space="preserve"> </w:t>
      </w:r>
      <w:r w:rsidR="00FD36D5" w:rsidRPr="00EC1CA7">
        <w:rPr>
          <w:rFonts w:ascii="Arial" w:hAnsi="Arial" w:cs="Arial"/>
          <w:sz w:val="20"/>
          <w:szCs w:val="20"/>
          <w:lang w:val="en-GB"/>
        </w:rPr>
        <w:t>1</w:t>
      </w:r>
      <w:r w:rsidR="002E20F5">
        <w:rPr>
          <w:rFonts w:ascii="Arial" w:hAnsi="Arial" w:cs="Arial"/>
          <w:sz w:val="20"/>
          <w:szCs w:val="20"/>
          <w:lang w:val="en-GB"/>
        </w:rPr>
        <w:t>7</w:t>
      </w:r>
      <w:r w:rsidRPr="00EC1CA7">
        <w:rPr>
          <w:rFonts w:ascii="Arial" w:hAnsi="Arial" w:cs="Arial"/>
          <w:sz w:val="20"/>
          <w:szCs w:val="20"/>
          <w:lang w:val="en-GB"/>
        </w:rPr>
        <w:t>.</w:t>
      </w:r>
      <w:r w:rsidR="002E20F5">
        <w:rPr>
          <w:rFonts w:ascii="Arial" w:hAnsi="Arial" w:cs="Arial"/>
          <w:sz w:val="20"/>
          <w:szCs w:val="20"/>
          <w:lang w:val="en-GB"/>
        </w:rPr>
        <w:t>5</w:t>
      </w:r>
      <w:r w:rsidR="00F70171" w:rsidRPr="00EC1CA7">
        <w:rPr>
          <w:rFonts w:ascii="Arial" w:hAnsi="Arial" w:cs="Arial"/>
          <w:sz w:val="20"/>
          <w:szCs w:val="20"/>
          <w:lang w:val="en-GB"/>
        </w:rPr>
        <w:t xml:space="preserve"> </w:t>
      </w:r>
      <w:r w:rsidR="00794772" w:rsidRPr="00EC1CA7">
        <w:rPr>
          <w:rFonts w:ascii="Arial" w:hAnsi="Arial" w:cs="Arial"/>
          <w:sz w:val="20"/>
          <w:szCs w:val="20"/>
          <w:lang w:val="en-GB"/>
        </w:rPr>
        <w:t>mil</w:t>
      </w:r>
      <w:r w:rsidRPr="00EC1CA7">
        <w:rPr>
          <w:rFonts w:ascii="Arial" w:hAnsi="Arial" w:cs="Arial"/>
          <w:sz w:val="20"/>
          <w:szCs w:val="20"/>
          <w:lang w:val="en-GB"/>
        </w:rPr>
        <w:t>lion and consisted of general and administrative expenses</w:t>
      </w:r>
      <w:r w:rsidR="00794772" w:rsidRPr="00EC1CA7">
        <w:rPr>
          <w:rFonts w:ascii="Arial" w:hAnsi="Arial" w:cs="Arial"/>
          <w:sz w:val="20"/>
          <w:szCs w:val="20"/>
          <w:lang w:val="en-GB"/>
        </w:rPr>
        <w:t xml:space="preserve"> </w:t>
      </w:r>
      <w:r w:rsidRPr="00EC1CA7">
        <w:rPr>
          <w:rFonts w:ascii="Arial" w:hAnsi="Arial" w:cs="Arial"/>
          <w:sz w:val="20"/>
          <w:szCs w:val="20"/>
          <w:lang w:val="en-GB"/>
        </w:rPr>
        <w:t>and other operating expenses</w:t>
      </w:r>
      <w:r w:rsidR="00794772" w:rsidRPr="00EC1CA7">
        <w:rPr>
          <w:rFonts w:ascii="Arial" w:hAnsi="Arial" w:cs="Arial"/>
          <w:sz w:val="20"/>
          <w:szCs w:val="20"/>
          <w:lang w:val="en-GB"/>
        </w:rPr>
        <w:t>.</w:t>
      </w:r>
    </w:p>
    <w:p w14:paraId="77FF71E1" w14:textId="77777777" w:rsidR="00794772" w:rsidRPr="00EC1CA7" w:rsidRDefault="00794772" w:rsidP="00794772">
      <w:pPr>
        <w:spacing w:after="0" w:line="240" w:lineRule="auto"/>
        <w:jc w:val="both"/>
        <w:rPr>
          <w:rFonts w:ascii="Arial" w:hAnsi="Arial" w:cs="Arial"/>
          <w:sz w:val="20"/>
          <w:szCs w:val="20"/>
          <w:lang w:val="en-GB"/>
        </w:rPr>
      </w:pPr>
    </w:p>
    <w:p w14:paraId="1DC0CAF0" w14:textId="5770A48A" w:rsidR="00DB5770" w:rsidRPr="00EC1CA7" w:rsidRDefault="00DB5770" w:rsidP="00DB5770">
      <w:pPr>
        <w:jc w:val="both"/>
        <w:rPr>
          <w:rFonts w:ascii="Arial" w:hAnsi="Arial" w:cs="Arial"/>
          <w:sz w:val="20"/>
          <w:szCs w:val="20"/>
          <w:lang w:val="en-GB"/>
        </w:rPr>
      </w:pPr>
      <w:r w:rsidRPr="00EC1CA7">
        <w:rPr>
          <w:rFonts w:ascii="Arial" w:hAnsi="Arial" w:cs="Arial"/>
          <w:sz w:val="20"/>
          <w:szCs w:val="20"/>
          <w:lang w:val="en-GB"/>
        </w:rPr>
        <w:t>On 3</w:t>
      </w:r>
      <w:r w:rsidR="002277BB" w:rsidRPr="00EC1CA7">
        <w:rPr>
          <w:rFonts w:ascii="Arial" w:hAnsi="Arial" w:cs="Arial"/>
          <w:sz w:val="20"/>
          <w:szCs w:val="20"/>
          <w:lang w:val="en-GB"/>
        </w:rPr>
        <w:t>0</w:t>
      </w:r>
      <w:r w:rsidRPr="00EC1CA7">
        <w:rPr>
          <w:rFonts w:ascii="Arial" w:hAnsi="Arial" w:cs="Arial"/>
          <w:sz w:val="20"/>
          <w:szCs w:val="20"/>
          <w:lang w:val="en-GB"/>
        </w:rPr>
        <w:t xml:space="preserve"> </w:t>
      </w:r>
      <w:r w:rsidR="002277BB" w:rsidRPr="00EC1CA7">
        <w:rPr>
          <w:rFonts w:ascii="Arial" w:hAnsi="Arial" w:cs="Arial"/>
          <w:sz w:val="20"/>
          <w:szCs w:val="20"/>
          <w:lang w:val="en-GB"/>
        </w:rPr>
        <w:t>June</w:t>
      </w:r>
      <w:r w:rsidRPr="00EC1CA7">
        <w:rPr>
          <w:rFonts w:ascii="Arial" w:hAnsi="Arial" w:cs="Arial"/>
          <w:sz w:val="20"/>
          <w:szCs w:val="20"/>
          <w:lang w:val="en-GB"/>
        </w:rPr>
        <w:t xml:space="preserve"> 20</w:t>
      </w:r>
      <w:r w:rsidR="00C66DD7" w:rsidRPr="00EC1CA7">
        <w:rPr>
          <w:rFonts w:ascii="Arial" w:hAnsi="Arial" w:cs="Arial"/>
          <w:sz w:val="20"/>
          <w:szCs w:val="20"/>
          <w:lang w:val="en-GB"/>
        </w:rPr>
        <w:t>2</w:t>
      </w:r>
      <w:r w:rsidR="002E20F5">
        <w:rPr>
          <w:rFonts w:ascii="Arial" w:hAnsi="Arial" w:cs="Arial"/>
          <w:sz w:val="20"/>
          <w:szCs w:val="20"/>
          <w:lang w:val="en-GB"/>
        </w:rPr>
        <w:t>5</w:t>
      </w:r>
      <w:r w:rsidRPr="00EC1CA7">
        <w:rPr>
          <w:rFonts w:ascii="Arial" w:hAnsi="Arial" w:cs="Arial"/>
          <w:sz w:val="20"/>
          <w:szCs w:val="20"/>
          <w:lang w:val="en-GB"/>
        </w:rPr>
        <w:t xml:space="preserve">, the Group had </w:t>
      </w:r>
      <w:r w:rsidR="0034519D" w:rsidRPr="00502F31">
        <w:rPr>
          <w:rFonts w:ascii="Arial" w:hAnsi="Arial" w:cs="Arial"/>
          <w:sz w:val="20"/>
          <w:szCs w:val="20"/>
          <w:lang w:val="en-GB"/>
        </w:rPr>
        <w:t>4</w:t>
      </w:r>
      <w:r w:rsidR="00502F31" w:rsidRPr="00502F31">
        <w:rPr>
          <w:rFonts w:ascii="Arial" w:hAnsi="Arial" w:cs="Arial"/>
          <w:sz w:val="20"/>
          <w:szCs w:val="20"/>
          <w:lang w:val="en-GB"/>
        </w:rPr>
        <w:t>71</w:t>
      </w:r>
      <w:r w:rsidRPr="00502F31">
        <w:rPr>
          <w:rFonts w:ascii="Arial" w:hAnsi="Arial" w:cs="Arial"/>
          <w:sz w:val="20"/>
          <w:szCs w:val="20"/>
          <w:lang w:val="en-GB"/>
        </w:rPr>
        <w:t xml:space="preserve"> e</w:t>
      </w:r>
      <w:r w:rsidRPr="00EC1CA7">
        <w:rPr>
          <w:rFonts w:ascii="Arial" w:hAnsi="Arial" w:cs="Arial"/>
          <w:sz w:val="20"/>
          <w:szCs w:val="20"/>
          <w:lang w:val="en-GB"/>
        </w:rPr>
        <w:t>mployees (on 3</w:t>
      </w:r>
      <w:r w:rsidR="002277BB" w:rsidRPr="00EC1CA7">
        <w:rPr>
          <w:rFonts w:ascii="Arial" w:hAnsi="Arial" w:cs="Arial"/>
          <w:sz w:val="20"/>
          <w:szCs w:val="20"/>
          <w:lang w:val="en-GB"/>
        </w:rPr>
        <w:t>0 June</w:t>
      </w:r>
      <w:r w:rsidRPr="00EC1CA7">
        <w:rPr>
          <w:rFonts w:ascii="Arial" w:hAnsi="Arial" w:cs="Arial"/>
          <w:sz w:val="20"/>
          <w:szCs w:val="20"/>
          <w:lang w:val="en-GB"/>
        </w:rPr>
        <w:t xml:space="preserve"> 20</w:t>
      </w:r>
      <w:r w:rsidR="001805FF" w:rsidRPr="00EC1CA7">
        <w:rPr>
          <w:rFonts w:ascii="Arial" w:hAnsi="Arial" w:cs="Arial"/>
          <w:sz w:val="20"/>
          <w:szCs w:val="20"/>
          <w:lang w:val="en-GB"/>
        </w:rPr>
        <w:t>2</w:t>
      </w:r>
      <w:r w:rsidR="002E20F5">
        <w:rPr>
          <w:rFonts w:ascii="Arial" w:hAnsi="Arial" w:cs="Arial"/>
          <w:sz w:val="20"/>
          <w:szCs w:val="20"/>
          <w:lang w:val="en-GB"/>
        </w:rPr>
        <w:t>4</w:t>
      </w:r>
      <w:r w:rsidRPr="00EC1CA7">
        <w:rPr>
          <w:rFonts w:ascii="Arial" w:hAnsi="Arial" w:cs="Arial"/>
          <w:sz w:val="20"/>
          <w:szCs w:val="20"/>
          <w:lang w:val="en-GB"/>
        </w:rPr>
        <w:t xml:space="preserve">: </w:t>
      </w:r>
      <w:r w:rsidR="0017521A">
        <w:rPr>
          <w:rFonts w:ascii="Arial" w:hAnsi="Arial" w:cs="Arial"/>
          <w:sz w:val="20"/>
          <w:szCs w:val="20"/>
          <w:lang w:val="en-GB"/>
        </w:rPr>
        <w:t>4</w:t>
      </w:r>
      <w:r w:rsidR="002E20F5">
        <w:rPr>
          <w:rFonts w:ascii="Arial" w:hAnsi="Arial" w:cs="Arial"/>
          <w:sz w:val="20"/>
          <w:szCs w:val="20"/>
          <w:lang w:val="en-GB"/>
        </w:rPr>
        <w:t>47</w:t>
      </w:r>
      <w:r w:rsidRPr="00EC1CA7">
        <w:rPr>
          <w:rFonts w:ascii="Arial" w:hAnsi="Arial" w:cs="Arial"/>
          <w:sz w:val="20"/>
          <w:szCs w:val="20"/>
          <w:lang w:val="en-GB"/>
        </w:rPr>
        <w:t xml:space="preserve"> employees</w:t>
      </w:r>
      <w:r w:rsidR="0014550E" w:rsidRPr="00EC1CA7">
        <w:rPr>
          <w:rFonts w:ascii="Arial" w:hAnsi="Arial" w:cs="Arial"/>
          <w:sz w:val="20"/>
          <w:szCs w:val="20"/>
          <w:lang w:val="en-GB"/>
        </w:rPr>
        <w:t>)</w:t>
      </w:r>
      <w:r w:rsidRPr="00EC1CA7">
        <w:rPr>
          <w:rFonts w:ascii="Arial" w:hAnsi="Arial" w:cs="Arial"/>
          <w:sz w:val="20"/>
          <w:szCs w:val="20"/>
          <w:lang w:val="en-GB"/>
        </w:rPr>
        <w:t>.</w:t>
      </w:r>
    </w:p>
    <w:p w14:paraId="1E681239" w14:textId="77777777" w:rsidR="00582BB8" w:rsidRPr="00EC1CA7" w:rsidRDefault="00582BB8" w:rsidP="00794772">
      <w:pPr>
        <w:spacing w:after="0" w:line="240" w:lineRule="auto"/>
        <w:rPr>
          <w:rFonts w:ascii="Arial" w:eastAsia="Times New Roman" w:hAnsi="Arial" w:cs="Arial"/>
          <w:b/>
          <w:spacing w:val="-3"/>
          <w:sz w:val="20"/>
          <w:szCs w:val="20"/>
          <w:u w:val="single"/>
          <w:lang w:val="en-GB" w:eastAsia="hr-HR"/>
        </w:rPr>
      </w:pPr>
    </w:p>
    <w:p w14:paraId="198FD66C" w14:textId="77777777" w:rsidR="00DB5770" w:rsidRPr="00EC1CA7" w:rsidRDefault="00DB5770" w:rsidP="00DB5770">
      <w:pPr>
        <w:spacing w:after="0" w:line="240" w:lineRule="auto"/>
        <w:rPr>
          <w:rFonts w:ascii="Arial" w:hAnsi="Arial" w:cs="Arial"/>
          <w:b/>
          <w:sz w:val="20"/>
          <w:szCs w:val="20"/>
          <w:lang w:val="en-GB"/>
        </w:rPr>
      </w:pPr>
      <w:r w:rsidRPr="00EC1CA7">
        <w:rPr>
          <w:rFonts w:ascii="Arial" w:hAnsi="Arial" w:cs="Arial"/>
          <w:b/>
          <w:sz w:val="20"/>
          <w:szCs w:val="20"/>
          <w:lang w:val="en-GB"/>
        </w:rPr>
        <w:t>Assets and liabilities of the Group</w:t>
      </w:r>
    </w:p>
    <w:p w14:paraId="3E21AC2D" w14:textId="77777777" w:rsidR="003E5F5C" w:rsidRPr="00EC1CA7" w:rsidRDefault="003E5F5C" w:rsidP="00C23C95">
      <w:pPr>
        <w:spacing w:after="0" w:line="240" w:lineRule="auto"/>
        <w:rPr>
          <w:rFonts w:ascii="Arial" w:hAnsi="Arial" w:cs="Arial"/>
          <w:sz w:val="20"/>
          <w:szCs w:val="20"/>
          <w:lang w:val="en-GB"/>
        </w:rPr>
      </w:pPr>
    </w:p>
    <w:p w14:paraId="0435044B" w14:textId="59CBFB73" w:rsidR="0034519D" w:rsidRPr="001029F8" w:rsidRDefault="006B126F" w:rsidP="0034519D">
      <w:pPr>
        <w:spacing w:after="0" w:line="240" w:lineRule="auto"/>
        <w:jc w:val="both"/>
        <w:rPr>
          <w:rFonts w:ascii="Arial" w:hAnsi="Arial" w:cs="Arial"/>
          <w:spacing w:val="-3"/>
          <w:sz w:val="20"/>
          <w:szCs w:val="20"/>
          <w:lang w:val="en-GB"/>
        </w:rPr>
      </w:pPr>
      <w:r w:rsidRPr="00EC1CA7">
        <w:rPr>
          <w:rFonts w:ascii="Arial" w:hAnsi="Arial" w:cs="Arial"/>
          <w:sz w:val="20"/>
          <w:szCs w:val="20"/>
          <w:lang w:val="en-GB"/>
        </w:rPr>
        <w:t xml:space="preserve">Total assets of the Group on consolidated basis amount to </w:t>
      </w:r>
      <w:r w:rsidR="00F70171">
        <w:rPr>
          <w:rFonts w:ascii="Arial" w:hAnsi="Arial" w:cs="Arial"/>
          <w:sz w:val="20"/>
          <w:szCs w:val="20"/>
          <w:lang w:val="en-GB"/>
        </w:rPr>
        <w:t>EUR</w:t>
      </w:r>
      <w:r w:rsidR="00F70171" w:rsidRPr="00EC1CA7">
        <w:rPr>
          <w:rFonts w:ascii="Arial" w:hAnsi="Arial" w:cs="Arial"/>
          <w:sz w:val="20"/>
          <w:szCs w:val="20"/>
          <w:lang w:val="en-GB"/>
        </w:rPr>
        <w:t xml:space="preserve"> </w:t>
      </w:r>
      <w:r w:rsidR="002E20F5">
        <w:rPr>
          <w:rFonts w:ascii="Arial" w:hAnsi="Arial" w:cs="Arial"/>
          <w:sz w:val="20"/>
          <w:szCs w:val="20"/>
          <w:lang w:val="en-GB"/>
        </w:rPr>
        <w:t>3</w:t>
      </w:r>
      <w:r w:rsidR="0034519D">
        <w:rPr>
          <w:rFonts w:ascii="Arial" w:hAnsi="Arial" w:cs="Arial"/>
          <w:sz w:val="20"/>
          <w:szCs w:val="20"/>
          <w:lang w:val="en-GB"/>
        </w:rPr>
        <w:t>,</w:t>
      </w:r>
      <w:r w:rsidR="002E20F5">
        <w:rPr>
          <w:rFonts w:ascii="Arial" w:hAnsi="Arial" w:cs="Arial"/>
          <w:sz w:val="20"/>
          <w:szCs w:val="20"/>
          <w:lang w:val="en-GB"/>
        </w:rPr>
        <w:t>985</w:t>
      </w:r>
      <w:r w:rsidR="0034519D">
        <w:rPr>
          <w:rFonts w:ascii="Arial" w:hAnsi="Arial" w:cs="Arial"/>
          <w:sz w:val="20"/>
          <w:szCs w:val="20"/>
          <w:lang w:val="en-GB"/>
        </w:rPr>
        <w:t>.</w:t>
      </w:r>
      <w:r w:rsidR="002E20F5">
        <w:rPr>
          <w:rFonts w:ascii="Arial" w:hAnsi="Arial" w:cs="Arial"/>
          <w:sz w:val="20"/>
          <w:szCs w:val="20"/>
          <w:lang w:val="en-GB"/>
        </w:rPr>
        <w:t>6</w:t>
      </w:r>
      <w:r w:rsidR="001C3F5F" w:rsidRPr="00EC1CA7">
        <w:rPr>
          <w:rFonts w:ascii="Arial" w:hAnsi="Arial" w:cs="Arial"/>
          <w:sz w:val="20"/>
          <w:szCs w:val="20"/>
          <w:lang w:val="en-GB"/>
        </w:rPr>
        <w:t xml:space="preserve"> </w:t>
      </w:r>
      <w:r w:rsidRPr="00EC1CA7">
        <w:rPr>
          <w:rFonts w:ascii="Arial" w:hAnsi="Arial" w:cs="Arial"/>
          <w:sz w:val="20"/>
          <w:szCs w:val="20"/>
          <w:lang w:val="en-GB"/>
        </w:rPr>
        <w:t>million</w:t>
      </w:r>
      <w:r w:rsidR="0034519D">
        <w:rPr>
          <w:rFonts w:ascii="Arial" w:hAnsi="Arial" w:cs="Arial"/>
          <w:sz w:val="20"/>
          <w:szCs w:val="20"/>
          <w:lang w:val="en-GB"/>
        </w:rPr>
        <w:t xml:space="preserve"> </w:t>
      </w:r>
      <w:r w:rsidR="0034519D" w:rsidRPr="001029F8">
        <w:rPr>
          <w:rFonts w:ascii="Arial" w:hAnsi="Arial" w:cs="Arial"/>
          <w:spacing w:val="-3"/>
          <w:sz w:val="20"/>
          <w:szCs w:val="20"/>
          <w:lang w:val="en-GB"/>
        </w:rPr>
        <w:t>and</w:t>
      </w:r>
      <w:r w:rsidR="0034519D">
        <w:rPr>
          <w:rFonts w:ascii="Arial" w:hAnsi="Arial" w:cs="Arial"/>
          <w:spacing w:val="-3"/>
          <w:sz w:val="20"/>
          <w:szCs w:val="20"/>
          <w:lang w:val="en-GB"/>
        </w:rPr>
        <w:t xml:space="preserve"> were</w:t>
      </w:r>
      <w:r w:rsidR="0034519D" w:rsidRPr="001029F8">
        <w:rPr>
          <w:rFonts w:ascii="Arial" w:hAnsi="Arial" w:cs="Arial"/>
          <w:spacing w:val="-3"/>
          <w:sz w:val="20"/>
          <w:szCs w:val="20"/>
          <w:lang w:val="en-GB"/>
        </w:rPr>
        <w:t xml:space="preserve"> retained at the level from the beginning of the year. </w:t>
      </w:r>
    </w:p>
    <w:p w14:paraId="4FC1630B" w14:textId="77777777" w:rsidR="007162FD" w:rsidRPr="00EC1CA7" w:rsidRDefault="007162FD" w:rsidP="00934BFE">
      <w:pPr>
        <w:spacing w:after="0" w:line="240" w:lineRule="auto"/>
        <w:jc w:val="both"/>
        <w:rPr>
          <w:rFonts w:ascii="Arial" w:hAnsi="Arial" w:cs="Arial"/>
          <w:sz w:val="20"/>
          <w:szCs w:val="20"/>
          <w:lang w:val="en-GB"/>
        </w:rPr>
      </w:pPr>
    </w:p>
    <w:p w14:paraId="49017E2E" w14:textId="0B53C071" w:rsidR="00934BFE" w:rsidRPr="00EC1CA7" w:rsidRDefault="002C3634" w:rsidP="00934BFE">
      <w:pPr>
        <w:spacing w:after="0" w:line="240" w:lineRule="auto"/>
        <w:jc w:val="both"/>
        <w:rPr>
          <w:rFonts w:ascii="Arial" w:hAnsi="Arial" w:cs="Arial"/>
          <w:sz w:val="20"/>
          <w:szCs w:val="20"/>
          <w:lang w:val="en-GB"/>
        </w:rPr>
      </w:pPr>
      <w:r w:rsidRPr="00EC1CA7">
        <w:rPr>
          <w:rFonts w:ascii="Arial" w:hAnsi="Arial" w:cs="Arial"/>
          <w:sz w:val="20"/>
          <w:szCs w:val="20"/>
          <w:lang w:val="en-GB"/>
        </w:rPr>
        <w:t>In the structure of assets, the major portion relates to the lending activities of the parent company, i.e. net loans account for</w:t>
      </w:r>
      <w:r w:rsidR="00934BFE" w:rsidRPr="00EC1CA7">
        <w:rPr>
          <w:rFonts w:ascii="Arial" w:hAnsi="Arial" w:cs="Arial"/>
          <w:sz w:val="20"/>
          <w:szCs w:val="20"/>
          <w:lang w:val="en-GB"/>
        </w:rPr>
        <w:t xml:space="preserve"> </w:t>
      </w:r>
      <w:r w:rsidR="0076398F" w:rsidRPr="00EC1CA7">
        <w:rPr>
          <w:rFonts w:ascii="Arial" w:hAnsi="Arial" w:cs="Arial"/>
          <w:sz w:val="20"/>
          <w:szCs w:val="20"/>
          <w:lang w:val="en-GB"/>
        </w:rPr>
        <w:t>8</w:t>
      </w:r>
      <w:r w:rsidR="002E20F5">
        <w:rPr>
          <w:rFonts w:ascii="Arial" w:hAnsi="Arial" w:cs="Arial"/>
          <w:sz w:val="20"/>
          <w:szCs w:val="20"/>
          <w:lang w:val="en-GB"/>
        </w:rPr>
        <w:t>7</w:t>
      </w:r>
      <w:r w:rsidR="0034519D">
        <w:rPr>
          <w:rFonts w:ascii="Arial" w:hAnsi="Arial" w:cs="Arial"/>
          <w:sz w:val="20"/>
          <w:szCs w:val="20"/>
          <w:lang w:val="en-GB"/>
        </w:rPr>
        <w:t>.</w:t>
      </w:r>
      <w:r w:rsidR="002E20F5">
        <w:rPr>
          <w:rFonts w:ascii="Arial" w:hAnsi="Arial" w:cs="Arial"/>
          <w:sz w:val="20"/>
          <w:szCs w:val="20"/>
          <w:lang w:val="en-GB"/>
        </w:rPr>
        <w:t>2</w:t>
      </w:r>
      <w:r w:rsidR="00D3254D" w:rsidRPr="00EC1CA7">
        <w:rPr>
          <w:rFonts w:ascii="Arial" w:hAnsi="Arial" w:cs="Arial"/>
          <w:sz w:val="20"/>
          <w:szCs w:val="20"/>
          <w:lang w:val="en-GB"/>
        </w:rPr>
        <w:t xml:space="preserve"> p</w:t>
      </w:r>
      <w:r w:rsidRPr="00EC1CA7">
        <w:rPr>
          <w:rFonts w:ascii="Arial" w:hAnsi="Arial" w:cs="Arial"/>
          <w:sz w:val="20"/>
          <w:szCs w:val="20"/>
          <w:lang w:val="en-GB"/>
        </w:rPr>
        <w:t>ercent of total assets</w:t>
      </w:r>
      <w:r w:rsidR="00934BFE" w:rsidRPr="00EC1CA7">
        <w:rPr>
          <w:rFonts w:ascii="Arial" w:hAnsi="Arial" w:cs="Arial"/>
          <w:sz w:val="20"/>
          <w:szCs w:val="20"/>
          <w:lang w:val="en-GB"/>
        </w:rPr>
        <w:t>.</w:t>
      </w:r>
    </w:p>
    <w:p w14:paraId="595274BD" w14:textId="77777777" w:rsidR="00934BFE" w:rsidRPr="00EC1CA7" w:rsidRDefault="00934BFE" w:rsidP="00934BFE">
      <w:pPr>
        <w:spacing w:after="0" w:line="240" w:lineRule="auto"/>
        <w:jc w:val="both"/>
        <w:rPr>
          <w:rFonts w:ascii="Arial" w:hAnsi="Arial" w:cs="Arial"/>
          <w:sz w:val="20"/>
          <w:szCs w:val="20"/>
          <w:lang w:val="en-GB"/>
        </w:rPr>
      </w:pPr>
    </w:p>
    <w:p w14:paraId="4B55622F" w14:textId="7AE39AC1" w:rsidR="00934BFE" w:rsidRPr="00EC1CA7" w:rsidRDefault="002C3634" w:rsidP="001C6D63">
      <w:pPr>
        <w:spacing w:after="0" w:line="240" w:lineRule="auto"/>
        <w:jc w:val="both"/>
        <w:rPr>
          <w:rFonts w:ascii="Arial" w:eastAsia="Times New Roman" w:hAnsi="Arial" w:cs="Arial"/>
          <w:spacing w:val="-3"/>
          <w:sz w:val="20"/>
          <w:szCs w:val="20"/>
          <w:lang w:val="en-GB" w:eastAsia="hr-HR"/>
        </w:rPr>
      </w:pPr>
      <w:r w:rsidRPr="00EC1CA7">
        <w:rPr>
          <w:rFonts w:ascii="Arial" w:eastAsia="Times New Roman" w:hAnsi="Arial" w:cs="Arial"/>
          <w:spacing w:val="-3"/>
          <w:sz w:val="20"/>
          <w:szCs w:val="20"/>
          <w:lang w:val="en-GB" w:eastAsia="hr-HR"/>
        </w:rPr>
        <w:t xml:space="preserve">Total liabilities and total equity as </w:t>
      </w:r>
      <w:proofErr w:type="gramStart"/>
      <w:r w:rsidRPr="00EC1CA7">
        <w:rPr>
          <w:rFonts w:ascii="Arial" w:eastAsia="Times New Roman" w:hAnsi="Arial" w:cs="Arial"/>
          <w:spacing w:val="-3"/>
          <w:sz w:val="20"/>
          <w:szCs w:val="20"/>
          <w:lang w:val="en-GB" w:eastAsia="hr-HR"/>
        </w:rPr>
        <w:t>at</w:t>
      </w:r>
      <w:proofErr w:type="gramEnd"/>
      <w:r w:rsidRPr="00EC1CA7">
        <w:rPr>
          <w:rFonts w:ascii="Arial" w:eastAsia="Times New Roman" w:hAnsi="Arial" w:cs="Arial"/>
          <w:spacing w:val="-3"/>
          <w:sz w:val="20"/>
          <w:szCs w:val="20"/>
          <w:lang w:val="en-GB" w:eastAsia="hr-HR"/>
        </w:rPr>
        <w:t xml:space="preserve"> </w:t>
      </w:r>
      <w:r w:rsidR="00880354" w:rsidRPr="00EC1CA7">
        <w:rPr>
          <w:rFonts w:ascii="Arial" w:hAnsi="Arial" w:cs="Arial"/>
          <w:sz w:val="20"/>
          <w:szCs w:val="20"/>
          <w:lang w:val="en-GB"/>
        </w:rPr>
        <w:t>30 June 202</w:t>
      </w:r>
      <w:r w:rsidR="002E20F5">
        <w:rPr>
          <w:rFonts w:ascii="Arial" w:hAnsi="Arial" w:cs="Arial"/>
          <w:sz w:val="20"/>
          <w:szCs w:val="20"/>
          <w:lang w:val="en-GB"/>
        </w:rPr>
        <w:t>5</w:t>
      </w:r>
      <w:r w:rsidR="00880354" w:rsidRPr="00EC1CA7">
        <w:rPr>
          <w:rFonts w:ascii="Arial" w:hAnsi="Arial" w:cs="Arial"/>
          <w:sz w:val="20"/>
          <w:szCs w:val="20"/>
          <w:lang w:val="en-GB"/>
        </w:rPr>
        <w:t xml:space="preserve"> </w:t>
      </w:r>
      <w:r w:rsidRPr="00EC1CA7">
        <w:rPr>
          <w:rFonts w:ascii="Arial" w:eastAsia="Times New Roman" w:hAnsi="Arial" w:cs="Arial"/>
          <w:spacing w:val="-3"/>
          <w:sz w:val="20"/>
          <w:szCs w:val="20"/>
          <w:lang w:val="en-GB" w:eastAsia="hr-HR"/>
        </w:rPr>
        <w:t xml:space="preserve">amount to </w:t>
      </w:r>
      <w:r w:rsidR="0076398F">
        <w:rPr>
          <w:rFonts w:ascii="Arial" w:eastAsia="Times New Roman" w:hAnsi="Arial" w:cs="Arial"/>
          <w:spacing w:val="-3"/>
          <w:sz w:val="20"/>
          <w:szCs w:val="20"/>
          <w:lang w:val="en-GB" w:eastAsia="hr-HR"/>
        </w:rPr>
        <w:t>EUR</w:t>
      </w:r>
      <w:r w:rsidR="0076398F" w:rsidRPr="00EC1CA7">
        <w:rPr>
          <w:rFonts w:ascii="Arial" w:eastAsia="Times New Roman" w:hAnsi="Arial" w:cs="Arial"/>
          <w:spacing w:val="-3"/>
          <w:sz w:val="20"/>
          <w:szCs w:val="20"/>
          <w:lang w:val="en-GB" w:eastAsia="hr-HR"/>
        </w:rPr>
        <w:t xml:space="preserve"> </w:t>
      </w:r>
      <w:r w:rsidR="002E20F5">
        <w:rPr>
          <w:rFonts w:ascii="Arial" w:eastAsia="Times New Roman" w:hAnsi="Arial" w:cs="Arial"/>
          <w:spacing w:val="-3"/>
          <w:sz w:val="20"/>
          <w:szCs w:val="20"/>
          <w:lang w:val="en-GB" w:eastAsia="hr-HR"/>
        </w:rPr>
        <w:t>3</w:t>
      </w:r>
      <w:r w:rsidR="005B6D62">
        <w:rPr>
          <w:rFonts w:ascii="Arial" w:eastAsia="Times New Roman" w:hAnsi="Arial" w:cs="Arial"/>
          <w:spacing w:val="-3"/>
          <w:sz w:val="20"/>
          <w:szCs w:val="20"/>
          <w:lang w:val="en-GB" w:eastAsia="hr-HR"/>
        </w:rPr>
        <w:t>,</w:t>
      </w:r>
      <w:r w:rsidR="002E20F5">
        <w:rPr>
          <w:rFonts w:ascii="Arial" w:eastAsia="Times New Roman" w:hAnsi="Arial" w:cs="Arial"/>
          <w:spacing w:val="-3"/>
          <w:sz w:val="20"/>
          <w:szCs w:val="20"/>
          <w:lang w:val="en-GB" w:eastAsia="hr-HR"/>
        </w:rPr>
        <w:t>985</w:t>
      </w:r>
      <w:r w:rsidR="0034519D">
        <w:rPr>
          <w:rFonts w:ascii="Arial" w:eastAsia="Times New Roman" w:hAnsi="Arial" w:cs="Arial"/>
          <w:spacing w:val="-3"/>
          <w:sz w:val="20"/>
          <w:szCs w:val="20"/>
          <w:lang w:val="en-GB" w:eastAsia="hr-HR"/>
        </w:rPr>
        <w:t>.</w:t>
      </w:r>
      <w:r w:rsidR="002E20F5">
        <w:rPr>
          <w:rFonts w:ascii="Arial" w:eastAsia="Times New Roman" w:hAnsi="Arial" w:cs="Arial"/>
          <w:spacing w:val="-3"/>
          <w:sz w:val="20"/>
          <w:szCs w:val="20"/>
          <w:lang w:val="en-GB" w:eastAsia="hr-HR"/>
        </w:rPr>
        <w:t>6</w:t>
      </w:r>
      <w:r w:rsidR="001C3F5F" w:rsidRPr="00EC1CA7">
        <w:rPr>
          <w:rFonts w:ascii="Arial" w:eastAsia="Times New Roman" w:hAnsi="Arial" w:cs="Arial"/>
          <w:spacing w:val="-3"/>
          <w:sz w:val="20"/>
          <w:szCs w:val="20"/>
          <w:lang w:val="en-GB" w:eastAsia="hr-HR"/>
        </w:rPr>
        <w:t xml:space="preserve"> </w:t>
      </w:r>
      <w:r w:rsidR="00934BFE" w:rsidRPr="00EC1CA7">
        <w:rPr>
          <w:rFonts w:ascii="Arial" w:eastAsia="Times New Roman" w:hAnsi="Arial" w:cs="Arial"/>
          <w:spacing w:val="-3"/>
          <w:sz w:val="20"/>
          <w:szCs w:val="20"/>
          <w:lang w:val="en-GB" w:eastAsia="hr-HR"/>
        </w:rPr>
        <w:t>mil</w:t>
      </w:r>
      <w:r w:rsidRPr="00EC1CA7">
        <w:rPr>
          <w:rFonts w:ascii="Arial" w:eastAsia="Times New Roman" w:hAnsi="Arial" w:cs="Arial"/>
          <w:spacing w:val="-3"/>
          <w:sz w:val="20"/>
          <w:szCs w:val="20"/>
          <w:lang w:val="en-GB" w:eastAsia="hr-HR"/>
        </w:rPr>
        <w:t>lion, of</w:t>
      </w:r>
      <w:r w:rsidR="00934BFE" w:rsidRPr="00EC1CA7">
        <w:rPr>
          <w:rFonts w:ascii="Arial" w:eastAsia="Times New Roman" w:hAnsi="Arial" w:cs="Arial"/>
          <w:spacing w:val="-3"/>
          <w:sz w:val="20"/>
          <w:szCs w:val="20"/>
          <w:lang w:val="en-GB" w:eastAsia="hr-HR"/>
        </w:rPr>
        <w:t xml:space="preserve"> </w:t>
      </w:r>
      <w:r w:rsidRPr="00EC1CA7">
        <w:rPr>
          <w:rFonts w:ascii="Arial" w:eastAsia="Times New Roman" w:hAnsi="Arial" w:cs="Arial"/>
          <w:spacing w:val="-3"/>
          <w:sz w:val="20"/>
          <w:szCs w:val="20"/>
          <w:lang w:val="en-GB" w:eastAsia="hr-HR"/>
        </w:rPr>
        <w:t xml:space="preserve">which amount total liabilities equal </w:t>
      </w:r>
      <w:r w:rsidR="0076398F">
        <w:rPr>
          <w:rFonts w:ascii="Arial" w:eastAsia="Times New Roman" w:hAnsi="Arial" w:cs="Arial"/>
          <w:spacing w:val="-3"/>
          <w:sz w:val="20"/>
          <w:szCs w:val="20"/>
          <w:lang w:val="en-GB" w:eastAsia="hr-HR"/>
        </w:rPr>
        <w:t>EUR</w:t>
      </w:r>
      <w:r w:rsidR="0076398F" w:rsidRPr="00EC1CA7">
        <w:rPr>
          <w:rFonts w:ascii="Arial" w:eastAsia="Times New Roman" w:hAnsi="Arial" w:cs="Arial"/>
          <w:spacing w:val="-3"/>
          <w:sz w:val="20"/>
          <w:szCs w:val="20"/>
          <w:lang w:val="en-GB" w:eastAsia="hr-HR"/>
        </w:rPr>
        <w:t xml:space="preserve"> </w:t>
      </w:r>
      <w:r w:rsidR="0076398F">
        <w:rPr>
          <w:rFonts w:ascii="Arial" w:eastAsia="Times New Roman" w:hAnsi="Arial" w:cs="Arial"/>
          <w:spacing w:val="-3"/>
          <w:sz w:val="20"/>
          <w:szCs w:val="20"/>
          <w:lang w:val="en-GB" w:eastAsia="hr-HR"/>
        </w:rPr>
        <w:t>2</w:t>
      </w:r>
      <w:r w:rsidRPr="00EC1CA7">
        <w:rPr>
          <w:rFonts w:ascii="Arial" w:eastAsia="Times New Roman" w:hAnsi="Arial" w:cs="Arial"/>
          <w:spacing w:val="-3"/>
          <w:sz w:val="20"/>
          <w:szCs w:val="20"/>
          <w:lang w:val="en-GB" w:eastAsia="hr-HR"/>
        </w:rPr>
        <w:t>,</w:t>
      </w:r>
      <w:r w:rsidR="002E20F5">
        <w:rPr>
          <w:rFonts w:ascii="Arial" w:eastAsia="Times New Roman" w:hAnsi="Arial" w:cs="Arial"/>
          <w:spacing w:val="-3"/>
          <w:sz w:val="20"/>
          <w:szCs w:val="20"/>
          <w:lang w:val="en-GB" w:eastAsia="hr-HR"/>
        </w:rPr>
        <w:t>425</w:t>
      </w:r>
      <w:r w:rsidR="0034519D">
        <w:rPr>
          <w:rFonts w:ascii="Arial" w:eastAsia="Times New Roman" w:hAnsi="Arial" w:cs="Arial"/>
          <w:spacing w:val="-3"/>
          <w:sz w:val="20"/>
          <w:szCs w:val="20"/>
          <w:lang w:val="en-GB" w:eastAsia="hr-HR"/>
        </w:rPr>
        <w:t>.</w:t>
      </w:r>
      <w:r w:rsidR="002E20F5">
        <w:rPr>
          <w:rFonts w:ascii="Arial" w:eastAsia="Times New Roman" w:hAnsi="Arial" w:cs="Arial"/>
          <w:spacing w:val="-3"/>
          <w:sz w:val="20"/>
          <w:szCs w:val="20"/>
          <w:lang w:val="en-GB" w:eastAsia="hr-HR"/>
        </w:rPr>
        <w:t>2</w:t>
      </w:r>
      <w:r w:rsidR="00934BFE" w:rsidRPr="00EC1CA7">
        <w:rPr>
          <w:rFonts w:ascii="Arial" w:eastAsia="Times New Roman" w:hAnsi="Arial" w:cs="Arial"/>
          <w:bCs/>
          <w:color w:val="000000"/>
          <w:sz w:val="20"/>
          <w:szCs w:val="20"/>
          <w:lang w:val="en-GB" w:eastAsia="hr-HR"/>
        </w:rPr>
        <w:t xml:space="preserve"> </w:t>
      </w:r>
      <w:r w:rsidR="00934BFE" w:rsidRPr="00EC1CA7">
        <w:rPr>
          <w:rFonts w:ascii="Arial" w:eastAsia="Times New Roman" w:hAnsi="Arial" w:cs="Arial"/>
          <w:spacing w:val="-3"/>
          <w:sz w:val="20"/>
          <w:szCs w:val="20"/>
          <w:lang w:val="en-GB" w:eastAsia="hr-HR"/>
        </w:rPr>
        <w:t>mil</w:t>
      </w:r>
      <w:r w:rsidRPr="00EC1CA7">
        <w:rPr>
          <w:rFonts w:ascii="Arial" w:eastAsia="Times New Roman" w:hAnsi="Arial" w:cs="Arial"/>
          <w:spacing w:val="-3"/>
          <w:sz w:val="20"/>
          <w:szCs w:val="20"/>
          <w:lang w:val="en-GB" w:eastAsia="hr-HR"/>
        </w:rPr>
        <w:t>lion</w:t>
      </w:r>
      <w:r w:rsidR="00934BFE" w:rsidRPr="00EC1CA7">
        <w:rPr>
          <w:rFonts w:ascii="Arial" w:eastAsia="Times New Roman" w:hAnsi="Arial" w:cs="Arial"/>
          <w:spacing w:val="-3"/>
          <w:sz w:val="20"/>
          <w:szCs w:val="20"/>
          <w:lang w:val="en-GB" w:eastAsia="hr-HR"/>
        </w:rPr>
        <w:t xml:space="preserve">, </w:t>
      </w:r>
      <w:r w:rsidRPr="00EC1CA7">
        <w:rPr>
          <w:rFonts w:ascii="Arial" w:eastAsia="Times New Roman" w:hAnsi="Arial" w:cs="Arial"/>
          <w:spacing w:val="-3"/>
          <w:sz w:val="20"/>
          <w:szCs w:val="20"/>
          <w:lang w:val="en-GB" w:eastAsia="hr-HR"/>
        </w:rPr>
        <w:t>i.e.</w:t>
      </w:r>
      <w:r w:rsidR="00934BFE" w:rsidRPr="00EC1CA7">
        <w:rPr>
          <w:rFonts w:ascii="Arial" w:eastAsia="Times New Roman" w:hAnsi="Arial" w:cs="Arial"/>
          <w:spacing w:val="-3"/>
          <w:sz w:val="20"/>
          <w:szCs w:val="20"/>
          <w:lang w:val="en-GB" w:eastAsia="hr-HR"/>
        </w:rPr>
        <w:t xml:space="preserve"> </w:t>
      </w:r>
      <w:r w:rsidR="0076398F" w:rsidRPr="00EC1CA7">
        <w:rPr>
          <w:rFonts w:ascii="Arial" w:eastAsia="Times New Roman" w:hAnsi="Arial" w:cs="Arial"/>
          <w:spacing w:val="-3"/>
          <w:sz w:val="20"/>
          <w:szCs w:val="20"/>
          <w:lang w:val="en-GB" w:eastAsia="hr-HR"/>
        </w:rPr>
        <w:t>6</w:t>
      </w:r>
      <w:r w:rsidR="002E20F5">
        <w:rPr>
          <w:rFonts w:ascii="Arial" w:eastAsia="Times New Roman" w:hAnsi="Arial" w:cs="Arial"/>
          <w:spacing w:val="-3"/>
          <w:sz w:val="20"/>
          <w:szCs w:val="20"/>
          <w:lang w:val="en-GB" w:eastAsia="hr-HR"/>
        </w:rPr>
        <w:t>0</w:t>
      </w:r>
      <w:r w:rsidR="00F64448" w:rsidRPr="00EC1CA7">
        <w:rPr>
          <w:rFonts w:ascii="Arial" w:eastAsia="Times New Roman" w:hAnsi="Arial" w:cs="Arial"/>
          <w:spacing w:val="-3"/>
          <w:sz w:val="20"/>
          <w:szCs w:val="20"/>
          <w:lang w:val="en-GB" w:eastAsia="hr-HR"/>
        </w:rPr>
        <w:t>.</w:t>
      </w:r>
      <w:r w:rsidR="002E20F5">
        <w:rPr>
          <w:rFonts w:ascii="Arial" w:eastAsia="Times New Roman" w:hAnsi="Arial" w:cs="Arial"/>
          <w:spacing w:val="-3"/>
          <w:sz w:val="20"/>
          <w:szCs w:val="20"/>
          <w:lang w:val="en-GB" w:eastAsia="hr-HR"/>
        </w:rPr>
        <w:t>8</w:t>
      </w:r>
      <w:r w:rsidR="0076398F" w:rsidRPr="00EC1CA7">
        <w:rPr>
          <w:rFonts w:ascii="Arial" w:eastAsia="Times New Roman" w:hAnsi="Arial" w:cs="Arial"/>
          <w:spacing w:val="-3"/>
          <w:sz w:val="20"/>
          <w:szCs w:val="20"/>
          <w:lang w:val="en-GB" w:eastAsia="hr-HR"/>
        </w:rPr>
        <w:t xml:space="preserve"> </w:t>
      </w:r>
      <w:r w:rsidR="00D3254D" w:rsidRPr="00EC1CA7">
        <w:rPr>
          <w:rFonts w:ascii="Arial" w:eastAsia="Times New Roman" w:hAnsi="Arial" w:cs="Arial"/>
          <w:spacing w:val="-3"/>
          <w:sz w:val="20"/>
          <w:szCs w:val="20"/>
          <w:lang w:val="en-GB" w:eastAsia="hr-HR"/>
        </w:rPr>
        <w:t>p</w:t>
      </w:r>
      <w:r w:rsidRPr="00EC1CA7">
        <w:rPr>
          <w:rFonts w:ascii="Arial" w:eastAsia="Times New Roman" w:hAnsi="Arial" w:cs="Arial"/>
          <w:spacing w:val="-3"/>
          <w:sz w:val="20"/>
          <w:szCs w:val="20"/>
          <w:lang w:val="en-GB" w:eastAsia="hr-HR"/>
        </w:rPr>
        <w:t>ercent</w:t>
      </w:r>
      <w:r w:rsidR="00934BFE" w:rsidRPr="00EC1CA7">
        <w:rPr>
          <w:rFonts w:ascii="Arial" w:eastAsia="Times New Roman" w:hAnsi="Arial" w:cs="Arial"/>
          <w:spacing w:val="-3"/>
          <w:sz w:val="20"/>
          <w:szCs w:val="20"/>
          <w:lang w:val="en-GB" w:eastAsia="hr-HR"/>
        </w:rPr>
        <w:t>.</w:t>
      </w:r>
    </w:p>
    <w:p w14:paraId="25A471A7" w14:textId="77777777" w:rsidR="007162FD" w:rsidRPr="00EC1CA7" w:rsidRDefault="007162FD" w:rsidP="001C6D63">
      <w:pPr>
        <w:spacing w:after="0" w:line="240" w:lineRule="auto"/>
        <w:jc w:val="both"/>
        <w:rPr>
          <w:rFonts w:ascii="Arial" w:eastAsia="Times New Roman" w:hAnsi="Arial" w:cs="Arial"/>
          <w:spacing w:val="-3"/>
          <w:sz w:val="20"/>
          <w:szCs w:val="20"/>
          <w:lang w:val="en-GB" w:eastAsia="hr-HR"/>
        </w:rPr>
      </w:pPr>
    </w:p>
    <w:p w14:paraId="30A8DF92" w14:textId="4111A9C3" w:rsidR="00934BFE" w:rsidRPr="00EC1CA7" w:rsidRDefault="002C3634" w:rsidP="00934BFE">
      <w:pPr>
        <w:spacing w:after="0" w:line="240" w:lineRule="auto"/>
        <w:jc w:val="both"/>
        <w:rPr>
          <w:rFonts w:ascii="Arial" w:hAnsi="Arial" w:cs="Arial"/>
          <w:sz w:val="20"/>
          <w:szCs w:val="20"/>
          <w:lang w:val="en-GB"/>
        </w:rPr>
      </w:pPr>
      <w:r w:rsidRPr="00EC1CA7">
        <w:rPr>
          <w:rFonts w:ascii="Arial" w:hAnsi="Arial" w:cs="Arial"/>
          <w:sz w:val="20"/>
          <w:szCs w:val="20"/>
          <w:lang w:val="en-GB"/>
        </w:rPr>
        <w:t xml:space="preserve">In total liabilities and total equity of the Group, the major portion, i.e. </w:t>
      </w:r>
      <w:r w:rsidR="00DE700B" w:rsidRPr="00EC1CA7">
        <w:rPr>
          <w:rFonts w:ascii="Arial" w:hAnsi="Arial" w:cs="Arial"/>
          <w:sz w:val="20"/>
          <w:szCs w:val="20"/>
          <w:lang w:val="en-GB"/>
        </w:rPr>
        <w:t>5</w:t>
      </w:r>
      <w:r w:rsidR="002E20F5">
        <w:rPr>
          <w:rFonts w:ascii="Arial" w:hAnsi="Arial" w:cs="Arial"/>
          <w:sz w:val="20"/>
          <w:szCs w:val="20"/>
          <w:lang w:val="en-GB"/>
        </w:rPr>
        <w:t>7</w:t>
      </w:r>
      <w:r w:rsidRPr="00EC1CA7">
        <w:rPr>
          <w:rFonts w:ascii="Arial" w:hAnsi="Arial" w:cs="Arial"/>
          <w:sz w:val="20"/>
          <w:szCs w:val="20"/>
          <w:lang w:val="en-GB"/>
        </w:rPr>
        <w:t>.</w:t>
      </w:r>
      <w:r w:rsidR="002E20F5">
        <w:rPr>
          <w:rFonts w:ascii="Arial" w:hAnsi="Arial" w:cs="Arial"/>
          <w:sz w:val="20"/>
          <w:szCs w:val="20"/>
          <w:lang w:val="en-GB"/>
        </w:rPr>
        <w:t>1</w:t>
      </w:r>
      <w:r w:rsidR="00D3254D" w:rsidRPr="00EC1CA7">
        <w:rPr>
          <w:rFonts w:ascii="Arial" w:hAnsi="Arial" w:cs="Arial"/>
          <w:sz w:val="20"/>
          <w:szCs w:val="20"/>
          <w:lang w:val="en-GB"/>
        </w:rPr>
        <w:t xml:space="preserve"> p</w:t>
      </w:r>
      <w:r w:rsidRPr="00EC1CA7">
        <w:rPr>
          <w:rFonts w:ascii="Arial" w:hAnsi="Arial" w:cs="Arial"/>
          <w:sz w:val="20"/>
          <w:szCs w:val="20"/>
          <w:lang w:val="en-GB"/>
        </w:rPr>
        <w:t>ercent</w:t>
      </w:r>
      <w:r w:rsidR="00934BFE" w:rsidRPr="00EC1CA7">
        <w:rPr>
          <w:rFonts w:ascii="Arial" w:hAnsi="Arial" w:cs="Arial"/>
          <w:sz w:val="20"/>
          <w:szCs w:val="20"/>
          <w:lang w:val="en-GB"/>
        </w:rPr>
        <w:t xml:space="preserve">, </w:t>
      </w:r>
      <w:r w:rsidRPr="00EC1CA7">
        <w:rPr>
          <w:rFonts w:ascii="Arial" w:hAnsi="Arial" w:cs="Arial"/>
          <w:sz w:val="20"/>
          <w:szCs w:val="20"/>
          <w:lang w:val="en-GB"/>
        </w:rPr>
        <w:t>consists of borrowings of the parent company</w:t>
      </w:r>
      <w:r w:rsidR="00934BFE" w:rsidRPr="00EC1CA7">
        <w:rPr>
          <w:rFonts w:ascii="Arial" w:hAnsi="Arial" w:cs="Arial"/>
          <w:sz w:val="20"/>
          <w:szCs w:val="20"/>
          <w:lang w:val="en-GB"/>
        </w:rPr>
        <w:t>.</w:t>
      </w:r>
    </w:p>
    <w:p w14:paraId="5995BDF4" w14:textId="77777777" w:rsidR="00EE3896" w:rsidRPr="00EC1CA7" w:rsidRDefault="00EE3896" w:rsidP="00934BFE">
      <w:pPr>
        <w:spacing w:after="0" w:line="240" w:lineRule="auto"/>
        <w:jc w:val="both"/>
        <w:rPr>
          <w:rFonts w:ascii="Arial" w:hAnsi="Arial" w:cs="Arial"/>
          <w:sz w:val="20"/>
          <w:szCs w:val="20"/>
          <w:lang w:val="en-GB"/>
        </w:rPr>
      </w:pPr>
    </w:p>
    <w:p w14:paraId="60A51247" w14:textId="2F6C6274" w:rsidR="003358AA" w:rsidRPr="00EC1CA7" w:rsidRDefault="002C3634" w:rsidP="0065688C">
      <w:pPr>
        <w:tabs>
          <w:tab w:val="left" w:pos="1204"/>
        </w:tabs>
        <w:jc w:val="both"/>
        <w:rPr>
          <w:rFonts w:ascii="Arial" w:hAnsi="Arial" w:cs="Arial"/>
          <w:sz w:val="20"/>
          <w:szCs w:val="20"/>
          <w:lang w:val="en-GB"/>
        </w:rPr>
        <w:sectPr w:rsidR="003358AA" w:rsidRPr="00EC1CA7" w:rsidSect="00811935">
          <w:footerReference w:type="first" r:id="rId18"/>
          <w:pgSz w:w="11906" w:h="16838" w:code="9"/>
          <w:pgMar w:top="-383" w:right="1134" w:bottom="567" w:left="1418" w:header="709" w:footer="709" w:gutter="0"/>
          <w:pgNumType w:start="4"/>
          <w:cols w:space="708"/>
          <w:titlePg/>
          <w:docGrid w:linePitch="360"/>
        </w:sectPr>
      </w:pPr>
      <w:r w:rsidRPr="00EC1CA7">
        <w:rPr>
          <w:rFonts w:ascii="Arial" w:hAnsi="Arial" w:cs="Arial"/>
          <w:sz w:val="20"/>
          <w:szCs w:val="20"/>
          <w:lang w:val="en-GB"/>
        </w:rPr>
        <w:t xml:space="preserve">At the end of the reporting period, total equity on consolidated basis amounted to </w:t>
      </w:r>
      <w:r w:rsidR="0076398F">
        <w:rPr>
          <w:rFonts w:ascii="Arial" w:hAnsi="Arial" w:cs="Arial"/>
          <w:sz w:val="20"/>
          <w:szCs w:val="20"/>
          <w:lang w:val="en-GB"/>
        </w:rPr>
        <w:t>EUR</w:t>
      </w:r>
      <w:r w:rsidR="0076398F" w:rsidRPr="00EC1CA7">
        <w:rPr>
          <w:rFonts w:ascii="Arial" w:hAnsi="Arial" w:cs="Arial"/>
          <w:sz w:val="20"/>
          <w:szCs w:val="20"/>
          <w:lang w:val="en-GB"/>
        </w:rPr>
        <w:t xml:space="preserve"> </w:t>
      </w:r>
      <w:r w:rsidR="00C51E2A" w:rsidRPr="00EC1CA7">
        <w:rPr>
          <w:rFonts w:ascii="Arial" w:hAnsi="Arial" w:cs="Arial"/>
          <w:sz w:val="20"/>
          <w:szCs w:val="20"/>
          <w:lang w:val="en-GB"/>
        </w:rPr>
        <w:t>1</w:t>
      </w:r>
      <w:r w:rsidRPr="00EC1CA7">
        <w:rPr>
          <w:rFonts w:ascii="Arial" w:hAnsi="Arial" w:cs="Arial"/>
          <w:sz w:val="20"/>
          <w:szCs w:val="20"/>
          <w:lang w:val="en-GB"/>
        </w:rPr>
        <w:t>,</w:t>
      </w:r>
      <w:r w:rsidR="002E20F5">
        <w:rPr>
          <w:rFonts w:ascii="Arial" w:hAnsi="Arial" w:cs="Arial"/>
          <w:sz w:val="20"/>
          <w:szCs w:val="20"/>
          <w:lang w:val="en-GB"/>
        </w:rPr>
        <w:t>560</w:t>
      </w:r>
      <w:r w:rsidR="0034519D">
        <w:rPr>
          <w:rFonts w:ascii="Arial" w:hAnsi="Arial" w:cs="Arial"/>
          <w:sz w:val="20"/>
          <w:szCs w:val="20"/>
          <w:lang w:val="en-GB"/>
        </w:rPr>
        <w:t>.</w:t>
      </w:r>
      <w:r w:rsidR="002E20F5">
        <w:rPr>
          <w:rFonts w:ascii="Arial" w:hAnsi="Arial" w:cs="Arial"/>
          <w:sz w:val="20"/>
          <w:szCs w:val="20"/>
          <w:lang w:val="en-GB"/>
        </w:rPr>
        <w:t>4</w:t>
      </w:r>
      <w:r w:rsidR="009E78D5" w:rsidRPr="00EC1CA7">
        <w:rPr>
          <w:rFonts w:ascii="Arial" w:eastAsia="Times New Roman" w:hAnsi="Arial" w:cs="Arial"/>
          <w:spacing w:val="-3"/>
          <w:sz w:val="20"/>
          <w:szCs w:val="20"/>
          <w:lang w:val="en-GB" w:eastAsia="hr-HR"/>
        </w:rPr>
        <w:t xml:space="preserve"> </w:t>
      </w:r>
      <w:r w:rsidRPr="00EC1CA7">
        <w:rPr>
          <w:rFonts w:ascii="Arial" w:hAnsi="Arial" w:cs="Arial"/>
          <w:sz w:val="20"/>
          <w:szCs w:val="20"/>
          <w:lang w:val="en-GB"/>
        </w:rPr>
        <w:t xml:space="preserve">million and accounted for </w:t>
      </w:r>
      <w:r w:rsidR="00C51E2A" w:rsidRPr="00EC1CA7">
        <w:rPr>
          <w:rFonts w:ascii="Arial" w:hAnsi="Arial" w:cs="Arial"/>
          <w:sz w:val="20"/>
          <w:szCs w:val="20"/>
          <w:lang w:val="en-GB"/>
        </w:rPr>
        <w:t>3</w:t>
      </w:r>
      <w:r w:rsidR="002E20F5">
        <w:rPr>
          <w:rFonts w:ascii="Arial" w:hAnsi="Arial" w:cs="Arial"/>
          <w:sz w:val="20"/>
          <w:szCs w:val="20"/>
          <w:lang w:val="en-GB"/>
        </w:rPr>
        <w:t>9</w:t>
      </w:r>
      <w:r w:rsidR="00A231C7" w:rsidRPr="00EC1CA7">
        <w:rPr>
          <w:rFonts w:ascii="Arial" w:hAnsi="Arial" w:cs="Arial"/>
          <w:sz w:val="20"/>
          <w:szCs w:val="20"/>
          <w:lang w:val="en-GB"/>
        </w:rPr>
        <w:t>.</w:t>
      </w:r>
      <w:r w:rsidR="002E20F5">
        <w:rPr>
          <w:rFonts w:ascii="Arial" w:hAnsi="Arial" w:cs="Arial"/>
          <w:sz w:val="20"/>
          <w:szCs w:val="20"/>
          <w:lang w:val="en-GB"/>
        </w:rPr>
        <w:t>2</w:t>
      </w:r>
      <w:r w:rsidR="002260BD" w:rsidRPr="00EC1CA7">
        <w:rPr>
          <w:rFonts w:ascii="Arial" w:hAnsi="Arial" w:cs="Arial"/>
          <w:sz w:val="20"/>
          <w:szCs w:val="20"/>
          <w:lang w:val="en-GB"/>
        </w:rPr>
        <w:t xml:space="preserve"> </w:t>
      </w:r>
      <w:r w:rsidR="00D3254D" w:rsidRPr="00EC1CA7">
        <w:rPr>
          <w:rFonts w:ascii="Arial" w:hAnsi="Arial" w:cs="Arial"/>
          <w:sz w:val="20"/>
          <w:szCs w:val="20"/>
          <w:lang w:val="en-GB"/>
        </w:rPr>
        <w:t>p</w:t>
      </w:r>
      <w:r w:rsidRPr="00EC1CA7">
        <w:rPr>
          <w:rFonts w:ascii="Arial" w:hAnsi="Arial" w:cs="Arial"/>
          <w:sz w:val="20"/>
          <w:szCs w:val="20"/>
          <w:lang w:val="en-GB"/>
        </w:rPr>
        <w:t>ercent of total liabilities and total equity of the Group</w:t>
      </w:r>
      <w:r w:rsidR="00934BFE" w:rsidRPr="00EC1CA7">
        <w:rPr>
          <w:rFonts w:ascii="Arial" w:hAnsi="Arial" w:cs="Arial"/>
          <w:sz w:val="20"/>
          <w:szCs w:val="20"/>
          <w:lang w:val="en-GB"/>
        </w:rPr>
        <w:t>.</w:t>
      </w:r>
      <w:r w:rsidR="002A599E" w:rsidRPr="00EC1CA7">
        <w:rPr>
          <w:rFonts w:ascii="Arial" w:hAnsi="Arial" w:cs="Arial"/>
          <w:sz w:val="20"/>
          <w:szCs w:val="20"/>
          <w:lang w:val="en-GB"/>
        </w:rPr>
        <w:t xml:space="preserve"> </w:t>
      </w:r>
    </w:p>
    <w:p w14:paraId="30685FF7" w14:textId="139DF8F1" w:rsidR="00E43402" w:rsidRDefault="00E43402" w:rsidP="002B782C">
      <w:pPr>
        <w:tabs>
          <w:tab w:val="left" w:pos="1204"/>
        </w:tabs>
        <w:rPr>
          <w:rFonts w:cstheme="minorHAnsi"/>
          <w:sz w:val="24"/>
          <w:szCs w:val="24"/>
          <w:lang w:val="en-GB"/>
        </w:rPr>
      </w:pPr>
    </w:p>
    <w:p w14:paraId="36E38094" w14:textId="77777777" w:rsidR="00AB7A2D" w:rsidRDefault="00AB7A2D" w:rsidP="002B782C">
      <w:pPr>
        <w:tabs>
          <w:tab w:val="left" w:pos="1204"/>
        </w:tabs>
        <w:rPr>
          <w:rFonts w:cstheme="minorHAnsi"/>
          <w:sz w:val="24"/>
          <w:szCs w:val="24"/>
          <w:lang w:val="en-GB"/>
        </w:rPr>
      </w:pPr>
    </w:p>
    <w:p w14:paraId="5079C5B8" w14:textId="77777777" w:rsidR="00AB7A2D" w:rsidRPr="00041197" w:rsidRDefault="00AB7A2D" w:rsidP="002B782C">
      <w:pPr>
        <w:tabs>
          <w:tab w:val="left" w:pos="1204"/>
        </w:tabs>
        <w:rPr>
          <w:rFonts w:cstheme="minorHAnsi"/>
          <w:sz w:val="24"/>
          <w:szCs w:val="24"/>
          <w:lang w:val="en-GB"/>
        </w:rPr>
      </w:pPr>
    </w:p>
    <w:p w14:paraId="2F364C6A" w14:textId="08562D86" w:rsidR="00E43402" w:rsidRPr="001607DE" w:rsidRDefault="00580D58" w:rsidP="00E43402">
      <w:pPr>
        <w:spacing w:after="0" w:line="240" w:lineRule="auto"/>
        <w:ind w:left="-284" w:right="-285"/>
        <w:jc w:val="both"/>
        <w:rPr>
          <w:rFonts w:eastAsia="Times New Roman" w:cs="Calibri"/>
          <w:b/>
          <w:spacing w:val="-3"/>
          <w:sz w:val="24"/>
          <w:szCs w:val="24"/>
          <w:u w:val="single"/>
          <w:lang w:eastAsia="hr-HR"/>
        </w:rPr>
      </w:pPr>
      <w:r>
        <w:rPr>
          <w:rFonts w:cstheme="minorHAnsi"/>
          <w:sz w:val="24"/>
          <w:szCs w:val="24"/>
        </w:rPr>
        <w:t xml:space="preserve"> </w:t>
      </w:r>
      <w:r w:rsidR="00631363">
        <w:rPr>
          <w:rFonts w:cstheme="minorHAnsi"/>
          <w:noProof/>
          <w:sz w:val="24"/>
          <w:szCs w:val="24"/>
        </w:rPr>
        <w:drawing>
          <wp:inline distT="0" distB="0" distL="0" distR="0" wp14:anchorId="1726DD39" wp14:editId="1D476045">
            <wp:extent cx="2982070" cy="3672205"/>
            <wp:effectExtent l="0" t="0" r="8890" b="4445"/>
            <wp:docPr id="1658023159"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9575" cy="3681447"/>
                    </a:xfrm>
                    <a:prstGeom prst="rect">
                      <a:avLst/>
                    </a:prstGeom>
                    <a:noFill/>
                  </pic:spPr>
                </pic:pic>
              </a:graphicData>
            </a:graphic>
          </wp:inline>
        </w:drawing>
      </w:r>
      <w:r w:rsidR="00FB2E14">
        <w:rPr>
          <w:rFonts w:cstheme="minorHAnsi"/>
          <w:sz w:val="24"/>
          <w:szCs w:val="24"/>
        </w:rPr>
        <w:t xml:space="preserve"> </w:t>
      </w:r>
      <w:r w:rsidR="00077437">
        <w:rPr>
          <w:rFonts w:cstheme="minorHAnsi"/>
          <w:sz w:val="24"/>
          <w:szCs w:val="24"/>
        </w:rPr>
        <w:t xml:space="preserve">  </w:t>
      </w:r>
      <w:r w:rsidR="00631363">
        <w:rPr>
          <w:rFonts w:cstheme="minorHAnsi"/>
          <w:sz w:val="24"/>
          <w:szCs w:val="24"/>
        </w:rPr>
        <w:t xml:space="preserve"> </w:t>
      </w:r>
      <w:r w:rsidR="00631363">
        <w:rPr>
          <w:rFonts w:cstheme="minorHAnsi"/>
          <w:noProof/>
          <w:sz w:val="24"/>
          <w:szCs w:val="24"/>
        </w:rPr>
        <w:drawing>
          <wp:inline distT="0" distB="0" distL="0" distR="0" wp14:anchorId="1B21B7CA" wp14:editId="642CBE68">
            <wp:extent cx="2982048" cy="3672178"/>
            <wp:effectExtent l="0" t="0" r="8890" b="5080"/>
            <wp:docPr id="138007713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9882" cy="3694140"/>
                    </a:xfrm>
                    <a:prstGeom prst="rect">
                      <a:avLst/>
                    </a:prstGeom>
                    <a:noFill/>
                  </pic:spPr>
                </pic:pic>
              </a:graphicData>
            </a:graphic>
          </wp:inline>
        </w:drawing>
      </w:r>
    </w:p>
    <w:p w14:paraId="511E5580" w14:textId="77777777" w:rsidR="00E43402" w:rsidRDefault="00E43402" w:rsidP="00E43402">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0AAE6B75" w14:textId="77777777" w:rsidR="00AB7A2D" w:rsidRPr="001607DE" w:rsidRDefault="00AB7A2D" w:rsidP="00E43402">
      <w:pPr>
        <w:spacing w:after="0" w:line="240" w:lineRule="auto"/>
        <w:ind w:left="-284" w:right="-425"/>
        <w:rPr>
          <w:rFonts w:eastAsia="Times New Roman" w:cs="Calibri"/>
          <w:b/>
          <w:noProof/>
          <w:spacing w:val="-3"/>
          <w:sz w:val="24"/>
          <w:szCs w:val="24"/>
          <w:lang w:eastAsia="hr-HR"/>
        </w:rPr>
      </w:pPr>
    </w:p>
    <w:p w14:paraId="13C2E4EC" w14:textId="51BCB3D1" w:rsidR="00E43402" w:rsidRPr="00041197" w:rsidRDefault="00E43402" w:rsidP="00D9199A">
      <w:pPr>
        <w:spacing w:after="0" w:line="240" w:lineRule="auto"/>
        <w:ind w:left="-284" w:right="-285"/>
        <w:rPr>
          <w:rFonts w:eastAsia="Times New Roman" w:cs="Calibri"/>
          <w:b/>
          <w:spacing w:val="-3"/>
          <w:sz w:val="24"/>
          <w:szCs w:val="24"/>
          <w:lang w:val="en-GB" w:eastAsia="hr-HR"/>
        </w:rPr>
      </w:pPr>
      <w:r w:rsidRPr="00777F71">
        <w:rPr>
          <w:rFonts w:eastAsia="Times New Roman" w:cs="Calibri"/>
          <w:b/>
          <w:noProof/>
          <w:spacing w:val="-3"/>
          <w:sz w:val="24"/>
          <w:szCs w:val="24"/>
          <w:lang w:eastAsia="hr-HR"/>
        </w:rPr>
        <w:t xml:space="preserve"> </w:t>
      </w:r>
      <w:r w:rsidR="00631363">
        <w:rPr>
          <w:rFonts w:eastAsia="Times New Roman" w:cs="Calibri"/>
          <w:b/>
          <w:noProof/>
          <w:spacing w:val="-3"/>
          <w:sz w:val="24"/>
          <w:szCs w:val="24"/>
          <w:lang w:eastAsia="hr-HR"/>
        </w:rPr>
        <w:drawing>
          <wp:inline distT="0" distB="0" distL="0" distR="0" wp14:anchorId="6598F264" wp14:editId="5D6B3B15">
            <wp:extent cx="2991375" cy="3736340"/>
            <wp:effectExtent l="0" t="0" r="0" b="0"/>
            <wp:docPr id="1948267501"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1153" cy="3748553"/>
                    </a:xfrm>
                    <a:prstGeom prst="rect">
                      <a:avLst/>
                    </a:prstGeom>
                    <a:noFill/>
                  </pic:spPr>
                </pic:pic>
              </a:graphicData>
            </a:graphic>
          </wp:inline>
        </w:drawing>
      </w:r>
      <w:r w:rsidRPr="00777F71">
        <w:rPr>
          <w:rFonts w:eastAsia="Times New Roman" w:cs="Calibri"/>
          <w:b/>
          <w:noProof/>
          <w:spacing w:val="-3"/>
          <w:sz w:val="24"/>
          <w:szCs w:val="24"/>
          <w:lang w:eastAsia="hr-HR"/>
        </w:rPr>
        <w:t xml:space="preserve"> </w:t>
      </w:r>
      <w:r w:rsidR="005E754D">
        <w:rPr>
          <w:rFonts w:cstheme="minorHAnsi"/>
          <w:sz w:val="24"/>
          <w:szCs w:val="24"/>
        </w:rPr>
        <w:t xml:space="preserve">   </w:t>
      </w:r>
      <w:r w:rsidR="00631363">
        <w:rPr>
          <w:rFonts w:cstheme="minorHAnsi"/>
          <w:noProof/>
          <w:sz w:val="24"/>
          <w:szCs w:val="24"/>
        </w:rPr>
        <w:drawing>
          <wp:inline distT="0" distB="0" distL="0" distR="0" wp14:anchorId="43A66BF2" wp14:editId="6E66E334">
            <wp:extent cx="3008555" cy="3735846"/>
            <wp:effectExtent l="0" t="0" r="1905" b="0"/>
            <wp:docPr id="1657094689"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8638" cy="3748366"/>
                    </a:xfrm>
                    <a:prstGeom prst="rect">
                      <a:avLst/>
                    </a:prstGeom>
                    <a:noFill/>
                  </pic:spPr>
                </pic:pic>
              </a:graphicData>
            </a:graphic>
          </wp:inline>
        </w:drawing>
      </w:r>
    </w:p>
    <w:p w14:paraId="02B32360" w14:textId="36D4E7E9" w:rsidR="00C11727" w:rsidRPr="00041197" w:rsidRDefault="00C11727" w:rsidP="001C6D63">
      <w:pPr>
        <w:spacing w:after="0" w:line="240" w:lineRule="auto"/>
        <w:ind w:left="-284" w:right="-425"/>
        <w:rPr>
          <w:rFonts w:eastAsia="Times New Roman" w:cs="Calibri"/>
          <w:b/>
          <w:spacing w:val="-3"/>
          <w:sz w:val="24"/>
          <w:szCs w:val="24"/>
          <w:lang w:val="en-GB" w:eastAsia="hr-HR"/>
        </w:rPr>
      </w:pPr>
    </w:p>
    <w:p w14:paraId="23408705" w14:textId="43063C3A" w:rsidR="00D26ABB" w:rsidRPr="00AB7A2D" w:rsidRDefault="008A29AA" w:rsidP="007B069A">
      <w:pPr>
        <w:spacing w:before="240" w:after="0" w:line="240" w:lineRule="auto"/>
        <w:jc w:val="both"/>
        <w:rPr>
          <w:rFonts w:ascii="Arial" w:eastAsia="Times New Roman" w:hAnsi="Arial" w:cs="Arial"/>
          <w:b/>
          <w:spacing w:val="-3"/>
          <w:sz w:val="16"/>
          <w:szCs w:val="16"/>
          <w:u w:val="single"/>
          <w:lang w:val="en-GB" w:eastAsia="hr-HR"/>
        </w:rPr>
      </w:pPr>
      <w:r w:rsidRPr="00AB7A2D">
        <w:rPr>
          <w:rFonts w:ascii="Arial" w:eastAsia="Times New Roman" w:hAnsi="Arial" w:cs="Arial"/>
          <w:color w:val="7F7F7F" w:themeColor="text1" w:themeTint="80"/>
          <w:spacing w:val="-3"/>
          <w:sz w:val="16"/>
          <w:szCs w:val="16"/>
          <w:lang w:val="en-GB" w:eastAsia="hr-HR"/>
        </w:rPr>
        <w:t>*</w:t>
      </w:r>
      <w:r w:rsidR="002C3634" w:rsidRPr="00AB7A2D">
        <w:rPr>
          <w:rFonts w:ascii="Arial" w:eastAsia="Times New Roman" w:hAnsi="Arial" w:cs="Arial"/>
          <w:color w:val="7F7F7F" w:themeColor="text1" w:themeTint="80"/>
          <w:spacing w:val="-3"/>
          <w:sz w:val="16"/>
          <w:szCs w:val="16"/>
          <w:lang w:val="en-GB" w:eastAsia="hr-HR"/>
        </w:rPr>
        <w:t>Property</w:t>
      </w:r>
      <w:r w:rsidRPr="00AB7A2D">
        <w:rPr>
          <w:rFonts w:ascii="Arial" w:eastAsia="Times New Roman" w:hAnsi="Arial" w:cs="Arial"/>
          <w:color w:val="7F7F7F" w:themeColor="text1" w:themeTint="80"/>
          <w:spacing w:val="-3"/>
          <w:sz w:val="16"/>
          <w:szCs w:val="16"/>
          <w:lang w:val="en-GB" w:eastAsia="hr-HR"/>
        </w:rPr>
        <w:t>, p</w:t>
      </w:r>
      <w:r w:rsidR="002C3634" w:rsidRPr="00AB7A2D">
        <w:rPr>
          <w:rFonts w:ascii="Arial" w:eastAsia="Times New Roman" w:hAnsi="Arial" w:cs="Arial"/>
          <w:color w:val="7F7F7F" w:themeColor="text1" w:themeTint="80"/>
          <w:spacing w:val="-3"/>
          <w:sz w:val="16"/>
          <w:szCs w:val="16"/>
          <w:lang w:val="en-GB" w:eastAsia="hr-HR"/>
        </w:rPr>
        <w:t>lant and equipment and intangible assets</w:t>
      </w:r>
      <w:r w:rsidRPr="00AB7A2D">
        <w:rPr>
          <w:rFonts w:ascii="Arial" w:eastAsia="Times New Roman" w:hAnsi="Arial" w:cs="Arial"/>
          <w:color w:val="7F7F7F" w:themeColor="text1" w:themeTint="80"/>
          <w:spacing w:val="-3"/>
          <w:sz w:val="16"/>
          <w:szCs w:val="16"/>
          <w:lang w:val="en-GB" w:eastAsia="hr-HR"/>
        </w:rPr>
        <w:t xml:space="preserve">, </w:t>
      </w:r>
      <w:r w:rsidR="00D03A9F" w:rsidRPr="00AB7A2D">
        <w:rPr>
          <w:rFonts w:ascii="Arial" w:eastAsia="Times New Roman" w:hAnsi="Arial" w:cs="Arial"/>
          <w:color w:val="7F7F7F" w:themeColor="text1" w:themeTint="80"/>
          <w:spacing w:val="-3"/>
          <w:sz w:val="16"/>
          <w:szCs w:val="16"/>
          <w:lang w:val="en-GB" w:eastAsia="hr-HR"/>
        </w:rPr>
        <w:t>Foreclosed assets</w:t>
      </w:r>
      <w:r w:rsidRPr="00AB7A2D">
        <w:rPr>
          <w:rFonts w:ascii="Arial" w:eastAsia="Times New Roman" w:hAnsi="Arial" w:cs="Arial"/>
          <w:color w:val="7F7F7F" w:themeColor="text1" w:themeTint="80"/>
          <w:spacing w:val="-3"/>
          <w:sz w:val="16"/>
          <w:szCs w:val="16"/>
          <w:lang w:val="en-GB" w:eastAsia="hr-HR"/>
        </w:rPr>
        <w:t xml:space="preserve"> </w:t>
      </w:r>
      <w:r w:rsidR="002C3634" w:rsidRPr="00AB7A2D">
        <w:rPr>
          <w:rFonts w:ascii="Arial" w:eastAsia="Times New Roman" w:hAnsi="Arial" w:cs="Arial"/>
          <w:color w:val="7F7F7F" w:themeColor="text1" w:themeTint="80"/>
          <w:spacing w:val="-3"/>
          <w:sz w:val="16"/>
          <w:szCs w:val="16"/>
          <w:lang w:val="en-GB" w:eastAsia="hr-HR"/>
        </w:rPr>
        <w:t xml:space="preserve">and </w:t>
      </w:r>
      <w:proofErr w:type="gramStart"/>
      <w:r w:rsidR="002C3634" w:rsidRPr="00AB7A2D">
        <w:rPr>
          <w:rFonts w:ascii="Arial" w:eastAsia="Times New Roman" w:hAnsi="Arial" w:cs="Arial"/>
          <w:color w:val="7F7F7F" w:themeColor="text1" w:themeTint="80"/>
          <w:spacing w:val="-3"/>
          <w:sz w:val="16"/>
          <w:szCs w:val="16"/>
          <w:lang w:val="en-GB" w:eastAsia="hr-HR"/>
        </w:rPr>
        <w:t>Other</w:t>
      </w:r>
      <w:proofErr w:type="gramEnd"/>
      <w:r w:rsidR="002C3634" w:rsidRPr="00AB7A2D">
        <w:rPr>
          <w:rFonts w:ascii="Arial" w:eastAsia="Times New Roman" w:hAnsi="Arial" w:cs="Arial"/>
          <w:color w:val="7F7F7F" w:themeColor="text1" w:themeTint="80"/>
          <w:spacing w:val="-3"/>
          <w:sz w:val="16"/>
          <w:szCs w:val="16"/>
          <w:lang w:val="en-GB" w:eastAsia="hr-HR"/>
        </w:rPr>
        <w:t xml:space="preserve"> assets</w:t>
      </w:r>
      <w:r w:rsidRPr="00AB7A2D">
        <w:rPr>
          <w:rFonts w:ascii="Arial" w:eastAsia="Times New Roman" w:hAnsi="Arial" w:cs="Arial"/>
          <w:color w:val="7F7F7F" w:themeColor="text1" w:themeTint="80"/>
          <w:spacing w:val="-3"/>
          <w:sz w:val="16"/>
          <w:szCs w:val="16"/>
          <w:lang w:val="en-GB" w:eastAsia="hr-HR"/>
        </w:rPr>
        <w:t>.</w:t>
      </w:r>
    </w:p>
    <w:p w14:paraId="7D889092" w14:textId="048C91C7" w:rsidR="00810A4B" w:rsidRPr="00AB7A2D" w:rsidRDefault="00D26ABB" w:rsidP="002A10E9">
      <w:pPr>
        <w:spacing w:before="120" w:after="0" w:line="240" w:lineRule="auto"/>
        <w:jc w:val="both"/>
        <w:rPr>
          <w:rFonts w:ascii="Arial" w:eastAsia="Times New Roman" w:hAnsi="Arial" w:cs="Arial"/>
          <w:color w:val="7F7F7F" w:themeColor="text1" w:themeTint="80"/>
          <w:spacing w:val="-3"/>
          <w:sz w:val="16"/>
          <w:szCs w:val="16"/>
          <w:lang w:val="en-GB" w:eastAsia="hr-HR"/>
        </w:rPr>
      </w:pPr>
      <w:r w:rsidRPr="00AB7A2D">
        <w:rPr>
          <w:rFonts w:ascii="Arial" w:eastAsia="Times New Roman" w:hAnsi="Arial" w:cs="Arial"/>
          <w:color w:val="7F7F7F" w:themeColor="text1" w:themeTint="80"/>
          <w:spacing w:val="-3"/>
          <w:sz w:val="16"/>
          <w:szCs w:val="16"/>
          <w:lang w:val="en-GB" w:eastAsia="hr-HR"/>
        </w:rPr>
        <w:t>**</w:t>
      </w:r>
      <w:r w:rsidR="00A37829" w:rsidRPr="00AB7A2D">
        <w:rPr>
          <w:rFonts w:ascii="Arial" w:eastAsia="Times New Roman" w:hAnsi="Arial" w:cs="Arial"/>
          <w:color w:val="7F7F7F" w:themeColor="text1" w:themeTint="80"/>
          <w:spacing w:val="-3"/>
          <w:sz w:val="16"/>
          <w:szCs w:val="16"/>
          <w:lang w:val="en-GB" w:eastAsia="hr-HR"/>
        </w:rPr>
        <w:t>Provisioning includes provisioning for guarantees</w:t>
      </w:r>
      <w:r w:rsidRPr="00AB7A2D">
        <w:rPr>
          <w:rFonts w:ascii="Arial" w:eastAsia="Times New Roman" w:hAnsi="Arial" w:cs="Arial"/>
          <w:color w:val="7F7F7F" w:themeColor="text1" w:themeTint="80"/>
          <w:spacing w:val="-3"/>
          <w:sz w:val="16"/>
          <w:szCs w:val="16"/>
          <w:lang w:val="en-GB" w:eastAsia="hr-HR"/>
        </w:rPr>
        <w:t xml:space="preserve">, </w:t>
      </w:r>
      <w:proofErr w:type="gramStart"/>
      <w:r w:rsidR="00A37829" w:rsidRPr="00AB7A2D">
        <w:rPr>
          <w:rFonts w:ascii="Arial" w:eastAsia="Times New Roman" w:hAnsi="Arial" w:cs="Arial"/>
          <w:color w:val="7F7F7F" w:themeColor="text1" w:themeTint="80"/>
          <w:spacing w:val="-3"/>
          <w:sz w:val="16"/>
          <w:szCs w:val="16"/>
          <w:lang w:val="en-GB" w:eastAsia="hr-HR"/>
        </w:rPr>
        <w:t>commitment</w:t>
      </w:r>
      <w:r w:rsidR="00CB3057" w:rsidRPr="00AB7A2D">
        <w:rPr>
          <w:rFonts w:ascii="Arial" w:eastAsia="Times New Roman" w:hAnsi="Arial" w:cs="Arial"/>
          <w:color w:val="7F7F7F" w:themeColor="text1" w:themeTint="80"/>
          <w:spacing w:val="-3"/>
          <w:sz w:val="16"/>
          <w:szCs w:val="16"/>
          <w:lang w:val="en-GB" w:eastAsia="hr-HR"/>
        </w:rPr>
        <w:t>s</w:t>
      </w:r>
      <w:proofErr w:type="gramEnd"/>
      <w:r w:rsidR="00CB3057" w:rsidRPr="00AB7A2D">
        <w:rPr>
          <w:rFonts w:ascii="Arial" w:eastAsia="Times New Roman" w:hAnsi="Arial" w:cs="Arial"/>
          <w:color w:val="7F7F7F" w:themeColor="text1" w:themeTint="80"/>
          <w:spacing w:val="-3"/>
          <w:sz w:val="16"/>
          <w:szCs w:val="16"/>
          <w:lang w:val="en-GB" w:eastAsia="hr-HR"/>
        </w:rPr>
        <w:t xml:space="preserve"> </w:t>
      </w:r>
      <w:r w:rsidR="00A37829" w:rsidRPr="00AB7A2D">
        <w:rPr>
          <w:rFonts w:ascii="Arial" w:eastAsia="Times New Roman" w:hAnsi="Arial" w:cs="Arial"/>
          <w:color w:val="7F7F7F" w:themeColor="text1" w:themeTint="80"/>
          <w:spacing w:val="-3"/>
          <w:sz w:val="16"/>
          <w:szCs w:val="16"/>
          <w:lang w:val="en-GB" w:eastAsia="hr-HR"/>
        </w:rPr>
        <w:t>and other liabilities</w:t>
      </w:r>
      <w:r w:rsidRPr="00AB7A2D">
        <w:rPr>
          <w:rFonts w:ascii="Arial" w:eastAsia="Times New Roman" w:hAnsi="Arial" w:cs="Arial"/>
          <w:color w:val="7F7F7F" w:themeColor="text1" w:themeTint="80"/>
          <w:spacing w:val="-3"/>
          <w:sz w:val="16"/>
          <w:szCs w:val="16"/>
          <w:lang w:val="en-GB" w:eastAsia="hr-HR"/>
        </w:rPr>
        <w:t>.</w:t>
      </w:r>
    </w:p>
    <w:p w14:paraId="7B1F355C" w14:textId="77777777" w:rsidR="00D26ABB" w:rsidRPr="00041197" w:rsidRDefault="00D26ABB">
      <w:pPr>
        <w:rPr>
          <w:rFonts w:eastAsia="Times New Roman" w:cs="Calibri"/>
          <w:b/>
          <w:spacing w:val="-3"/>
          <w:sz w:val="24"/>
          <w:szCs w:val="24"/>
          <w:u w:val="single"/>
          <w:lang w:val="en-GB" w:eastAsia="hr-HR"/>
        </w:rPr>
        <w:sectPr w:rsidR="00D26ABB" w:rsidRPr="00041197" w:rsidSect="00C23C95">
          <w:footerReference w:type="first" r:id="rId23"/>
          <w:pgSz w:w="11906" w:h="16838" w:code="9"/>
          <w:pgMar w:top="-383" w:right="1134" w:bottom="567" w:left="1418" w:header="709" w:footer="709" w:gutter="0"/>
          <w:pgNumType w:start="4"/>
          <w:cols w:space="708"/>
          <w:titlePg/>
          <w:docGrid w:linePitch="360"/>
        </w:sectPr>
      </w:pPr>
    </w:p>
    <w:p w14:paraId="774F023B" w14:textId="77777777" w:rsidR="00AE35D1" w:rsidRPr="00041197"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EC1CA7" w:rsidRDefault="00A37829" w:rsidP="00A37829">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EC1CA7">
        <w:rPr>
          <w:rFonts w:ascii="Arial" w:eastAsia="Times New Roman" w:hAnsi="Arial" w:cs="Arial"/>
          <w:b/>
          <w:sz w:val="28"/>
          <w:szCs w:val="28"/>
          <w:lang w:val="en-GB"/>
        </w:rPr>
        <w:t>RESULTS OF HBOR</w:t>
      </w:r>
    </w:p>
    <w:p w14:paraId="1399652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4"/>
          <w:pgSz w:w="11906" w:h="16838" w:code="9"/>
          <w:pgMar w:top="596" w:right="1133" w:bottom="1417" w:left="1417" w:header="709" w:footer="709" w:gutter="0"/>
          <w:cols w:space="708"/>
          <w:titlePg/>
          <w:docGrid w:linePitch="360"/>
        </w:sectPr>
      </w:pPr>
    </w:p>
    <w:p w14:paraId="68BB0FE0" w14:textId="190C70D0" w:rsidR="00383965" w:rsidRPr="00681907" w:rsidRDefault="00383965" w:rsidP="00A37829">
      <w:pPr>
        <w:keepNext/>
        <w:spacing w:after="0" w:line="240" w:lineRule="auto"/>
        <w:jc w:val="center"/>
        <w:outlineLvl w:val="1"/>
        <w:rPr>
          <w:rFonts w:ascii="Calibri" w:hAnsi="Calibri" w:cs="Calibri"/>
          <w:b/>
          <w:bCs/>
          <w:sz w:val="24"/>
          <w:szCs w:val="24"/>
          <w:lang w:eastAsia="x-none"/>
        </w:rPr>
      </w:pPr>
      <w:bookmarkStart w:id="0" w:name="_Toc477261950"/>
    </w:p>
    <w:p w14:paraId="0D509DBA" w14:textId="77777777" w:rsidR="00681907" w:rsidRPr="00681907" w:rsidRDefault="00681907" w:rsidP="00A37829">
      <w:pPr>
        <w:keepNext/>
        <w:spacing w:after="0" w:line="240" w:lineRule="auto"/>
        <w:jc w:val="center"/>
        <w:outlineLvl w:val="1"/>
        <w:rPr>
          <w:rFonts w:ascii="Calibri" w:hAnsi="Calibri" w:cs="Calibri"/>
          <w:b/>
          <w:bCs/>
          <w:sz w:val="24"/>
          <w:szCs w:val="24"/>
          <w:lang w:eastAsia="x-none"/>
        </w:rPr>
      </w:pPr>
    </w:p>
    <w:p w14:paraId="4F1629B1" w14:textId="3448D25D" w:rsidR="00A37829" w:rsidRPr="005118FE" w:rsidRDefault="00A37829" w:rsidP="00A37829">
      <w:pPr>
        <w:keepNext/>
        <w:spacing w:after="0" w:line="240" w:lineRule="auto"/>
        <w:jc w:val="center"/>
        <w:outlineLvl w:val="1"/>
        <w:rPr>
          <w:rFonts w:ascii="Arial" w:hAnsi="Arial" w:cs="Arial"/>
          <w:b/>
          <w:bCs/>
          <w:sz w:val="20"/>
          <w:szCs w:val="20"/>
          <w:lang w:val="en-GB" w:eastAsia="x-none"/>
        </w:rPr>
      </w:pPr>
      <w:r w:rsidRPr="005118FE">
        <w:rPr>
          <w:rFonts w:ascii="Arial" w:hAnsi="Arial" w:cs="Arial"/>
          <w:b/>
          <w:bCs/>
          <w:sz w:val="20"/>
          <w:szCs w:val="20"/>
          <w:lang w:val="en-GB" w:eastAsia="x-none"/>
        </w:rPr>
        <w:t>OVERVIEW OF FINANCIAL PERFORMANCE OF HBOR</w:t>
      </w:r>
      <w:bookmarkEnd w:id="0"/>
    </w:p>
    <w:p w14:paraId="204A504E" w14:textId="77777777" w:rsidR="003E5F5C" w:rsidRPr="00041197" w:rsidRDefault="003E5F5C" w:rsidP="00C23C95">
      <w:pPr>
        <w:keepNext/>
        <w:spacing w:after="0" w:line="240" w:lineRule="auto"/>
        <w:jc w:val="center"/>
        <w:outlineLvl w:val="1"/>
        <w:rPr>
          <w:rFonts w:ascii="Calibri" w:hAnsi="Calibri" w:cs="Calibri"/>
          <w:b/>
          <w:bCs/>
          <w:sz w:val="24"/>
          <w:szCs w:val="24"/>
          <w:lang w:val="en-GB" w:eastAsia="x-none"/>
        </w:rPr>
      </w:pPr>
    </w:p>
    <w:p w14:paraId="5DF7947B" w14:textId="77777777" w:rsidR="00BF17D9" w:rsidRPr="005118FE" w:rsidRDefault="00A37829" w:rsidP="00C23C95">
      <w:pPr>
        <w:spacing w:after="0" w:line="240" w:lineRule="auto"/>
        <w:jc w:val="both"/>
        <w:rPr>
          <w:rFonts w:ascii="Arial" w:hAnsi="Arial" w:cs="Arial"/>
          <w:sz w:val="20"/>
          <w:szCs w:val="20"/>
          <w:lang w:val="en-GB"/>
        </w:rPr>
      </w:pPr>
      <w:r w:rsidRPr="005118FE">
        <w:rPr>
          <w:rFonts w:ascii="Arial" w:hAnsi="Arial" w:cs="Arial"/>
          <w:sz w:val="20"/>
          <w:szCs w:val="20"/>
          <w:lang w:val="en-GB"/>
        </w:rPr>
        <w:t>The following text gives an overview and explanation of the significant changes in financial position and operating performance in the reporting period</w:t>
      </w:r>
      <w:r w:rsidR="00BF17D9" w:rsidRPr="005118FE">
        <w:rPr>
          <w:rFonts w:ascii="Arial" w:hAnsi="Arial" w:cs="Arial"/>
          <w:sz w:val="20"/>
          <w:szCs w:val="20"/>
          <w:lang w:val="en-GB"/>
        </w:rPr>
        <w:t>.</w:t>
      </w:r>
    </w:p>
    <w:p w14:paraId="7E080BD8" w14:textId="77777777" w:rsidR="00BF17D9" w:rsidRPr="005118FE" w:rsidRDefault="00BF17D9" w:rsidP="00C23C95">
      <w:pPr>
        <w:tabs>
          <w:tab w:val="left" w:pos="-720"/>
        </w:tabs>
        <w:spacing w:after="0" w:line="240" w:lineRule="auto"/>
        <w:jc w:val="both"/>
        <w:rPr>
          <w:rFonts w:ascii="Arial" w:hAnsi="Arial" w:cs="Arial"/>
          <w:b/>
          <w:spacing w:val="-3"/>
          <w:sz w:val="20"/>
          <w:szCs w:val="20"/>
          <w:lang w:val="en-GB"/>
        </w:rPr>
      </w:pPr>
    </w:p>
    <w:p w14:paraId="15BB6385" w14:textId="77777777" w:rsidR="003D5E90" w:rsidRPr="005118FE" w:rsidRDefault="003D5E90" w:rsidP="003D5E90">
      <w:pPr>
        <w:tabs>
          <w:tab w:val="left" w:pos="-720"/>
        </w:tabs>
        <w:spacing w:after="0" w:line="240" w:lineRule="auto"/>
        <w:jc w:val="both"/>
        <w:rPr>
          <w:rFonts w:ascii="Arial" w:hAnsi="Arial" w:cs="Arial"/>
          <w:b/>
          <w:spacing w:val="-3"/>
          <w:sz w:val="20"/>
          <w:szCs w:val="20"/>
          <w:lang w:val="en-GB"/>
        </w:rPr>
      </w:pPr>
      <w:r w:rsidRPr="005118FE">
        <w:rPr>
          <w:rFonts w:ascii="Arial" w:hAnsi="Arial" w:cs="Arial"/>
          <w:b/>
          <w:spacing w:val="-3"/>
          <w:sz w:val="20"/>
          <w:szCs w:val="20"/>
          <w:lang w:val="en-GB"/>
        </w:rPr>
        <w:t xml:space="preserve">Financial performance  </w:t>
      </w:r>
    </w:p>
    <w:p w14:paraId="50E59725" w14:textId="77777777" w:rsidR="00893743" w:rsidRPr="005118FE" w:rsidRDefault="00893743" w:rsidP="00BF17D9">
      <w:pPr>
        <w:tabs>
          <w:tab w:val="left" w:pos="-720"/>
        </w:tabs>
        <w:suppressAutoHyphens/>
        <w:spacing w:after="0" w:line="240" w:lineRule="auto"/>
        <w:jc w:val="both"/>
        <w:rPr>
          <w:rFonts w:ascii="Arial" w:hAnsi="Arial" w:cs="Arial"/>
          <w:spacing w:val="-3"/>
          <w:sz w:val="20"/>
          <w:szCs w:val="20"/>
          <w:lang w:val="en-GB"/>
        </w:rPr>
      </w:pPr>
    </w:p>
    <w:p w14:paraId="12E43844" w14:textId="6BC93606" w:rsidR="00BF17D9" w:rsidRPr="005118FE" w:rsidRDefault="003D5E90" w:rsidP="00BF17D9">
      <w:pPr>
        <w:tabs>
          <w:tab w:val="left" w:pos="-720"/>
        </w:tabs>
        <w:suppressAutoHyphens/>
        <w:spacing w:after="0" w:line="240" w:lineRule="auto"/>
        <w:jc w:val="both"/>
        <w:rPr>
          <w:rFonts w:ascii="Arial" w:hAnsi="Arial" w:cs="Arial"/>
          <w:spacing w:val="-3"/>
          <w:sz w:val="20"/>
          <w:szCs w:val="20"/>
          <w:lang w:val="en-GB"/>
        </w:rPr>
      </w:pPr>
      <w:r w:rsidRPr="005118FE">
        <w:rPr>
          <w:rFonts w:ascii="Arial" w:hAnsi="Arial" w:cs="Arial"/>
          <w:spacing w:val="-3"/>
          <w:sz w:val="20"/>
          <w:szCs w:val="20"/>
          <w:lang w:val="en-GB"/>
        </w:rPr>
        <w:t xml:space="preserve">In the period from 1 January to </w:t>
      </w:r>
      <w:r w:rsidR="00FE06F1" w:rsidRPr="005118FE">
        <w:rPr>
          <w:rFonts w:ascii="Arial" w:hAnsi="Arial" w:cs="Arial"/>
          <w:spacing w:val="-3"/>
          <w:sz w:val="20"/>
          <w:szCs w:val="20"/>
          <w:lang w:val="en-GB"/>
        </w:rPr>
        <w:t>3</w:t>
      </w:r>
      <w:r w:rsidR="00C95164" w:rsidRPr="005118FE">
        <w:rPr>
          <w:rFonts w:ascii="Arial" w:hAnsi="Arial" w:cs="Arial"/>
          <w:spacing w:val="-3"/>
          <w:sz w:val="20"/>
          <w:szCs w:val="20"/>
          <w:lang w:val="en-GB"/>
        </w:rPr>
        <w:t>0</w:t>
      </w:r>
      <w:r w:rsidRPr="005118FE">
        <w:rPr>
          <w:rFonts w:ascii="Arial" w:hAnsi="Arial" w:cs="Arial"/>
          <w:spacing w:val="-3"/>
          <w:sz w:val="20"/>
          <w:szCs w:val="20"/>
          <w:lang w:val="en-GB"/>
        </w:rPr>
        <w:t xml:space="preserve"> </w:t>
      </w:r>
      <w:r w:rsidR="00C95164" w:rsidRPr="005118FE">
        <w:rPr>
          <w:rFonts w:ascii="Arial" w:hAnsi="Arial" w:cs="Arial"/>
          <w:spacing w:val="-3"/>
          <w:sz w:val="20"/>
          <w:szCs w:val="20"/>
          <w:lang w:val="en-GB"/>
        </w:rPr>
        <w:t>June</w:t>
      </w:r>
      <w:r w:rsidRPr="005118FE">
        <w:rPr>
          <w:rFonts w:ascii="Arial" w:hAnsi="Arial" w:cs="Arial"/>
          <w:spacing w:val="-3"/>
          <w:sz w:val="20"/>
          <w:szCs w:val="20"/>
          <w:lang w:val="en-GB"/>
        </w:rPr>
        <w:t xml:space="preserve"> </w:t>
      </w:r>
      <w:r w:rsidR="00BF17D9" w:rsidRPr="005118FE">
        <w:rPr>
          <w:rFonts w:ascii="Arial" w:hAnsi="Arial" w:cs="Arial"/>
          <w:spacing w:val="-3"/>
          <w:sz w:val="20"/>
          <w:szCs w:val="20"/>
          <w:lang w:val="en-GB"/>
        </w:rPr>
        <w:t>20</w:t>
      </w:r>
      <w:r w:rsidR="00630BEF" w:rsidRPr="005118FE">
        <w:rPr>
          <w:rFonts w:ascii="Arial" w:hAnsi="Arial" w:cs="Arial"/>
          <w:spacing w:val="-3"/>
          <w:sz w:val="20"/>
          <w:szCs w:val="20"/>
          <w:lang w:val="en-GB"/>
        </w:rPr>
        <w:t>2</w:t>
      </w:r>
      <w:r w:rsidR="00527B74">
        <w:rPr>
          <w:rFonts w:ascii="Arial" w:hAnsi="Arial" w:cs="Arial"/>
          <w:spacing w:val="-3"/>
          <w:sz w:val="20"/>
          <w:szCs w:val="20"/>
          <w:lang w:val="en-GB"/>
        </w:rPr>
        <w:t>5</w:t>
      </w:r>
      <w:r w:rsidRPr="005118FE">
        <w:rPr>
          <w:rFonts w:ascii="Arial" w:hAnsi="Arial" w:cs="Arial"/>
          <w:spacing w:val="-3"/>
          <w:sz w:val="20"/>
          <w:szCs w:val="20"/>
          <w:lang w:val="en-GB"/>
        </w:rPr>
        <w:t>,</w:t>
      </w:r>
      <w:r w:rsidR="00BF17D9" w:rsidRPr="005118FE">
        <w:rPr>
          <w:rFonts w:ascii="Arial" w:hAnsi="Arial" w:cs="Arial"/>
          <w:spacing w:val="-3"/>
          <w:sz w:val="20"/>
          <w:szCs w:val="20"/>
          <w:lang w:val="en-GB"/>
        </w:rPr>
        <w:t xml:space="preserve"> HBOR </w:t>
      </w:r>
      <w:r w:rsidRPr="005118FE">
        <w:rPr>
          <w:rFonts w:ascii="Arial" w:hAnsi="Arial" w:cs="Arial"/>
          <w:spacing w:val="-3"/>
          <w:sz w:val="20"/>
          <w:szCs w:val="20"/>
          <w:lang w:val="en-GB"/>
        </w:rPr>
        <w:t xml:space="preserve">generated total income of </w:t>
      </w:r>
      <w:r w:rsidR="00E42783" w:rsidRPr="005118FE">
        <w:rPr>
          <w:rFonts w:ascii="Arial" w:hAnsi="Arial" w:cs="Arial"/>
          <w:spacing w:val="-3"/>
          <w:sz w:val="20"/>
          <w:szCs w:val="20"/>
          <w:lang w:val="en-GB"/>
        </w:rPr>
        <w:t xml:space="preserve">EUR </w:t>
      </w:r>
      <w:r w:rsidR="000B7325">
        <w:rPr>
          <w:rFonts w:ascii="Arial" w:hAnsi="Arial" w:cs="Arial"/>
          <w:spacing w:val="-3"/>
          <w:sz w:val="20"/>
          <w:szCs w:val="20"/>
          <w:lang w:val="en-GB"/>
        </w:rPr>
        <w:t>101.5</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million</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 xml:space="preserve">expenses of </w:t>
      </w:r>
      <w:r w:rsidR="00291773" w:rsidRPr="005118FE">
        <w:rPr>
          <w:rFonts w:ascii="Arial" w:hAnsi="Arial" w:cs="Arial"/>
          <w:spacing w:val="-3"/>
          <w:sz w:val="20"/>
          <w:szCs w:val="20"/>
          <w:lang w:val="en-GB"/>
        </w:rPr>
        <w:t>EUR</w:t>
      </w:r>
      <w:r w:rsidR="00BF17D9" w:rsidRPr="005118FE">
        <w:rPr>
          <w:rFonts w:ascii="Arial" w:hAnsi="Arial" w:cs="Arial"/>
          <w:spacing w:val="-3"/>
          <w:sz w:val="20"/>
          <w:szCs w:val="20"/>
          <w:lang w:val="en-GB"/>
        </w:rPr>
        <w:t xml:space="preserve"> </w:t>
      </w:r>
      <w:r w:rsidR="000B7325">
        <w:rPr>
          <w:rFonts w:ascii="Arial" w:hAnsi="Arial" w:cs="Arial"/>
          <w:spacing w:val="-3"/>
          <w:sz w:val="20"/>
          <w:szCs w:val="20"/>
          <w:lang w:val="en-GB"/>
        </w:rPr>
        <w:t>4</w:t>
      </w:r>
      <w:r w:rsidR="00EC4A07">
        <w:rPr>
          <w:rFonts w:ascii="Arial" w:hAnsi="Arial" w:cs="Arial"/>
          <w:spacing w:val="-3"/>
          <w:sz w:val="20"/>
          <w:szCs w:val="20"/>
          <w:lang w:val="en-GB"/>
        </w:rPr>
        <w:t>6.6</w:t>
      </w:r>
      <w:r w:rsidR="00FE06F1" w:rsidRPr="005118FE">
        <w:rPr>
          <w:rFonts w:ascii="Arial" w:hAnsi="Arial" w:cs="Arial"/>
          <w:spacing w:val="-3"/>
          <w:sz w:val="20"/>
          <w:szCs w:val="20"/>
          <w:lang w:val="en-GB"/>
        </w:rPr>
        <w:t xml:space="preserve"> </w:t>
      </w:r>
      <w:r w:rsidR="00BF17D9" w:rsidRPr="005118FE">
        <w:rPr>
          <w:rFonts w:ascii="Arial" w:hAnsi="Arial" w:cs="Arial"/>
          <w:spacing w:val="-3"/>
          <w:sz w:val="20"/>
          <w:szCs w:val="20"/>
          <w:lang w:val="en-GB"/>
        </w:rPr>
        <w:t>mil</w:t>
      </w:r>
      <w:r w:rsidRPr="005118FE">
        <w:rPr>
          <w:rFonts w:ascii="Arial" w:hAnsi="Arial" w:cs="Arial"/>
          <w:spacing w:val="-3"/>
          <w:sz w:val="20"/>
          <w:szCs w:val="20"/>
          <w:lang w:val="en-GB"/>
        </w:rPr>
        <w:t xml:space="preserve">lion and profit in the amount of </w:t>
      </w:r>
      <w:r w:rsidR="009223FB" w:rsidRPr="005118FE">
        <w:rPr>
          <w:rFonts w:ascii="Arial" w:hAnsi="Arial" w:cs="Arial"/>
          <w:spacing w:val="-3"/>
          <w:sz w:val="20"/>
          <w:szCs w:val="20"/>
          <w:lang w:val="en-GB"/>
        </w:rPr>
        <w:t xml:space="preserve">EUR </w:t>
      </w:r>
      <w:r w:rsidR="008B0383">
        <w:rPr>
          <w:rFonts w:ascii="Arial" w:hAnsi="Arial" w:cs="Arial"/>
          <w:spacing w:val="-3"/>
          <w:sz w:val="20"/>
          <w:szCs w:val="20"/>
          <w:lang w:val="en-GB"/>
        </w:rPr>
        <w:t>54.9</w:t>
      </w:r>
      <w:r w:rsidR="00BF17D9" w:rsidRPr="005118FE">
        <w:rPr>
          <w:rFonts w:ascii="Arial" w:hAnsi="Arial" w:cs="Arial"/>
          <w:spacing w:val="-3"/>
          <w:sz w:val="20"/>
          <w:szCs w:val="20"/>
          <w:lang w:val="en-GB"/>
        </w:rPr>
        <w:t xml:space="preserve"> mil</w:t>
      </w:r>
      <w:r w:rsidRPr="005118FE">
        <w:rPr>
          <w:rFonts w:ascii="Arial" w:hAnsi="Arial" w:cs="Arial"/>
          <w:spacing w:val="-3"/>
          <w:sz w:val="20"/>
          <w:szCs w:val="20"/>
          <w:lang w:val="en-GB"/>
        </w:rPr>
        <w:t>lion</w:t>
      </w:r>
      <w:r w:rsidR="00BF17D9" w:rsidRPr="005118FE">
        <w:rPr>
          <w:rFonts w:ascii="Arial" w:hAnsi="Arial" w:cs="Arial"/>
          <w:spacing w:val="-3"/>
          <w:sz w:val="20"/>
          <w:szCs w:val="20"/>
          <w:lang w:val="en-GB"/>
        </w:rPr>
        <w:t>.</w:t>
      </w:r>
      <w:r w:rsidR="00416526" w:rsidRPr="005118FE">
        <w:rPr>
          <w:rFonts w:ascii="Arial" w:hAnsi="Arial" w:cs="Arial"/>
          <w:spacing w:val="-3"/>
          <w:sz w:val="20"/>
          <w:szCs w:val="20"/>
          <w:lang w:val="en-GB"/>
        </w:rPr>
        <w:t xml:space="preserve"> HBOR’s</w:t>
      </w:r>
      <w:r w:rsidR="00BF17D9" w:rsidRPr="005118FE">
        <w:rPr>
          <w:rFonts w:ascii="Arial" w:hAnsi="Arial" w:cs="Arial"/>
          <w:spacing w:val="-3"/>
          <w:sz w:val="20"/>
          <w:szCs w:val="20"/>
          <w:lang w:val="en-GB"/>
        </w:rPr>
        <w:t xml:space="preserve"> </w:t>
      </w:r>
      <w:r w:rsidR="00416526" w:rsidRPr="005118FE">
        <w:rPr>
          <w:rFonts w:ascii="Arial" w:hAnsi="Arial" w:cs="Arial"/>
          <w:spacing w:val="-3"/>
          <w:sz w:val="20"/>
          <w:szCs w:val="20"/>
          <w:lang w:val="en-GB"/>
        </w:rPr>
        <w:t>p</w:t>
      </w:r>
      <w:r w:rsidRPr="005118FE">
        <w:rPr>
          <w:rFonts w:ascii="Arial" w:hAnsi="Arial" w:cs="Arial"/>
          <w:spacing w:val="-3"/>
          <w:sz w:val="20"/>
          <w:szCs w:val="20"/>
          <w:lang w:val="en-GB"/>
        </w:rPr>
        <w:t xml:space="preserve">rofit generated in the reporting period </w:t>
      </w:r>
      <w:r w:rsidR="00EC4A07">
        <w:rPr>
          <w:rFonts w:ascii="Arial" w:hAnsi="Arial" w:cs="Arial"/>
          <w:spacing w:val="-3"/>
          <w:sz w:val="20"/>
          <w:szCs w:val="20"/>
          <w:lang w:val="en-GB"/>
        </w:rPr>
        <w:t>in</w:t>
      </w:r>
      <w:r w:rsidRPr="005118FE">
        <w:rPr>
          <w:rFonts w:ascii="Arial" w:hAnsi="Arial" w:cs="Arial"/>
          <w:spacing w:val="-3"/>
          <w:sz w:val="20"/>
          <w:szCs w:val="20"/>
          <w:lang w:val="en-GB"/>
        </w:rPr>
        <w:t xml:space="preserve">creased by </w:t>
      </w:r>
      <w:r w:rsidR="0096131E" w:rsidRPr="005118FE">
        <w:rPr>
          <w:rFonts w:ascii="Arial" w:hAnsi="Arial" w:cs="Arial"/>
          <w:spacing w:val="-3"/>
          <w:sz w:val="20"/>
          <w:szCs w:val="20"/>
          <w:lang w:val="en-GB"/>
        </w:rPr>
        <w:t xml:space="preserve">EUR </w:t>
      </w:r>
      <w:r w:rsidR="008B0383">
        <w:rPr>
          <w:rFonts w:ascii="Arial" w:hAnsi="Arial" w:cs="Arial"/>
          <w:spacing w:val="-3"/>
          <w:sz w:val="20"/>
          <w:szCs w:val="20"/>
          <w:lang w:val="en-GB"/>
        </w:rPr>
        <w:t>16.5</w:t>
      </w:r>
      <w:r w:rsidR="009E3641" w:rsidRPr="005118FE">
        <w:rPr>
          <w:rFonts w:ascii="Arial" w:hAnsi="Arial" w:cs="Arial"/>
          <w:spacing w:val="-3"/>
          <w:sz w:val="20"/>
          <w:szCs w:val="20"/>
          <w:lang w:val="en-GB"/>
        </w:rPr>
        <w:t xml:space="preserve"> </w:t>
      </w:r>
      <w:r w:rsidR="00BF17D9" w:rsidRPr="005118FE">
        <w:rPr>
          <w:rFonts w:ascii="Arial" w:hAnsi="Arial" w:cs="Arial"/>
          <w:spacing w:val="-3"/>
          <w:sz w:val="20"/>
          <w:szCs w:val="20"/>
          <w:lang w:val="en-GB"/>
        </w:rPr>
        <w:t>mil</w:t>
      </w:r>
      <w:r w:rsidRPr="005118FE">
        <w:rPr>
          <w:rFonts w:ascii="Arial" w:hAnsi="Arial" w:cs="Arial"/>
          <w:spacing w:val="-3"/>
          <w:sz w:val="20"/>
          <w:szCs w:val="20"/>
          <w:lang w:val="en-GB"/>
        </w:rPr>
        <w:t>lion</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compared with the profit generated in the same period last year</w:t>
      </w:r>
      <w:r w:rsidR="00BF17D9" w:rsidRPr="005118FE">
        <w:rPr>
          <w:rFonts w:ascii="Arial" w:hAnsi="Arial" w:cs="Arial"/>
          <w:spacing w:val="-3"/>
          <w:sz w:val="20"/>
          <w:szCs w:val="20"/>
          <w:lang w:val="en-GB"/>
        </w:rPr>
        <w:t>.</w:t>
      </w:r>
    </w:p>
    <w:p w14:paraId="584F49AA" w14:textId="314391E5" w:rsidR="00BF17D9" w:rsidRPr="005118FE" w:rsidRDefault="00BF17D9" w:rsidP="00BF17D9">
      <w:pPr>
        <w:tabs>
          <w:tab w:val="left" w:pos="-720"/>
        </w:tabs>
        <w:suppressAutoHyphens/>
        <w:spacing w:after="0" w:line="240" w:lineRule="auto"/>
        <w:jc w:val="both"/>
        <w:rPr>
          <w:rFonts w:ascii="Arial" w:hAnsi="Arial" w:cs="Arial"/>
          <w:spacing w:val="-3"/>
          <w:sz w:val="20"/>
          <w:szCs w:val="20"/>
          <w:lang w:val="en-GB"/>
        </w:rPr>
      </w:pPr>
    </w:p>
    <w:p w14:paraId="28BDFA0C" w14:textId="0258215D" w:rsidR="00427715" w:rsidRPr="005118FE" w:rsidRDefault="00427715" w:rsidP="00427715">
      <w:pPr>
        <w:tabs>
          <w:tab w:val="left" w:pos="-720"/>
        </w:tabs>
        <w:suppressAutoHyphens/>
        <w:spacing w:after="0" w:line="240" w:lineRule="auto"/>
        <w:jc w:val="both"/>
        <w:rPr>
          <w:rFonts w:ascii="Arial" w:hAnsi="Arial" w:cs="Arial"/>
          <w:spacing w:val="-3"/>
          <w:sz w:val="20"/>
          <w:szCs w:val="20"/>
          <w:lang w:val="en-GB"/>
        </w:rPr>
      </w:pPr>
      <w:r w:rsidRPr="005118FE">
        <w:rPr>
          <w:rFonts w:ascii="Arial" w:hAnsi="Arial" w:cs="Arial"/>
          <w:sz w:val="20"/>
          <w:szCs w:val="20"/>
          <w:lang w:val="en"/>
        </w:rPr>
        <w:t xml:space="preserve">The </w:t>
      </w:r>
      <w:r w:rsidR="00EC4A07">
        <w:rPr>
          <w:rFonts w:ascii="Arial" w:hAnsi="Arial" w:cs="Arial"/>
          <w:sz w:val="20"/>
          <w:szCs w:val="20"/>
          <w:lang w:val="en"/>
        </w:rPr>
        <w:t>in</w:t>
      </w:r>
      <w:r w:rsidRPr="005118FE">
        <w:rPr>
          <w:rFonts w:ascii="Arial" w:hAnsi="Arial" w:cs="Arial"/>
          <w:sz w:val="20"/>
          <w:szCs w:val="20"/>
          <w:lang w:val="en"/>
        </w:rPr>
        <w:t>crease in profit in the period from 1 January to 30 June 202</w:t>
      </w:r>
      <w:r w:rsidR="008B0383">
        <w:rPr>
          <w:rFonts w:ascii="Arial" w:hAnsi="Arial" w:cs="Arial"/>
          <w:sz w:val="20"/>
          <w:szCs w:val="20"/>
          <w:lang w:val="en"/>
        </w:rPr>
        <w:t>5</w:t>
      </w:r>
      <w:r w:rsidRPr="005118FE">
        <w:rPr>
          <w:rFonts w:ascii="Arial" w:hAnsi="Arial" w:cs="Arial"/>
          <w:sz w:val="20"/>
          <w:szCs w:val="20"/>
          <w:lang w:val="en"/>
        </w:rPr>
        <w:t xml:space="preserve"> compared with the same period last year is a result of a</w:t>
      </w:r>
      <w:r w:rsidR="00EC4A07">
        <w:rPr>
          <w:rFonts w:ascii="Arial" w:hAnsi="Arial" w:cs="Arial"/>
          <w:sz w:val="20"/>
          <w:szCs w:val="20"/>
          <w:lang w:val="en"/>
        </w:rPr>
        <w:t>n</w:t>
      </w:r>
      <w:r w:rsidRPr="005118FE">
        <w:rPr>
          <w:rFonts w:ascii="Arial" w:hAnsi="Arial" w:cs="Arial"/>
          <w:sz w:val="20"/>
          <w:szCs w:val="20"/>
          <w:lang w:val="en"/>
        </w:rPr>
        <w:t xml:space="preserve"> </w:t>
      </w:r>
      <w:r w:rsidR="00EC4A07">
        <w:rPr>
          <w:rFonts w:ascii="Arial" w:hAnsi="Arial" w:cs="Arial"/>
          <w:sz w:val="20"/>
          <w:szCs w:val="20"/>
          <w:lang w:val="en"/>
        </w:rPr>
        <w:t>in</w:t>
      </w:r>
      <w:r w:rsidRPr="005118FE">
        <w:rPr>
          <w:rFonts w:ascii="Arial" w:hAnsi="Arial" w:cs="Arial"/>
          <w:sz w:val="20"/>
          <w:szCs w:val="20"/>
          <w:lang w:val="en"/>
        </w:rPr>
        <w:t xml:space="preserve">crease in total income by </w:t>
      </w:r>
      <w:r w:rsidR="005871FA">
        <w:rPr>
          <w:rFonts w:ascii="Arial" w:hAnsi="Arial" w:cs="Arial"/>
          <w:sz w:val="20"/>
          <w:szCs w:val="20"/>
          <w:lang w:val="en"/>
        </w:rPr>
        <w:t xml:space="preserve">EUR </w:t>
      </w:r>
      <w:r w:rsidR="008B0383">
        <w:rPr>
          <w:rFonts w:ascii="Arial" w:hAnsi="Arial" w:cs="Arial"/>
          <w:sz w:val="20"/>
          <w:szCs w:val="20"/>
          <w:lang w:val="en"/>
        </w:rPr>
        <w:t>26.5</w:t>
      </w:r>
      <w:r w:rsidRPr="005118FE">
        <w:rPr>
          <w:rFonts w:ascii="Arial" w:hAnsi="Arial" w:cs="Arial"/>
          <w:sz w:val="20"/>
          <w:szCs w:val="20"/>
          <w:lang w:val="en"/>
        </w:rPr>
        <w:t xml:space="preserve"> million and a</w:t>
      </w:r>
      <w:r w:rsidR="00DF150D">
        <w:rPr>
          <w:rFonts w:ascii="Arial" w:hAnsi="Arial" w:cs="Arial"/>
          <w:sz w:val="20"/>
          <w:szCs w:val="20"/>
          <w:lang w:val="en"/>
        </w:rPr>
        <w:t>n</w:t>
      </w:r>
      <w:r w:rsidRPr="005118FE">
        <w:rPr>
          <w:rFonts w:ascii="Arial" w:hAnsi="Arial" w:cs="Arial"/>
          <w:sz w:val="20"/>
          <w:szCs w:val="20"/>
          <w:lang w:val="en"/>
        </w:rPr>
        <w:t xml:space="preserve"> </w:t>
      </w:r>
      <w:r w:rsidR="00DF150D">
        <w:rPr>
          <w:rFonts w:ascii="Arial" w:hAnsi="Arial" w:cs="Arial"/>
          <w:sz w:val="20"/>
          <w:szCs w:val="20"/>
          <w:lang w:val="en"/>
        </w:rPr>
        <w:t>in</w:t>
      </w:r>
      <w:r w:rsidRPr="005118FE">
        <w:rPr>
          <w:rFonts w:ascii="Arial" w:hAnsi="Arial" w:cs="Arial"/>
          <w:sz w:val="20"/>
          <w:szCs w:val="20"/>
          <w:lang w:val="en"/>
        </w:rPr>
        <w:t xml:space="preserve">crease in total expenses by </w:t>
      </w:r>
      <w:r w:rsidR="00DF150D">
        <w:rPr>
          <w:rFonts w:ascii="Arial" w:hAnsi="Arial" w:cs="Arial"/>
          <w:sz w:val="20"/>
          <w:szCs w:val="20"/>
          <w:lang w:val="en"/>
        </w:rPr>
        <w:t xml:space="preserve">EUR </w:t>
      </w:r>
      <w:r w:rsidR="008B0383">
        <w:rPr>
          <w:rFonts w:ascii="Arial" w:hAnsi="Arial" w:cs="Arial"/>
          <w:sz w:val="20"/>
          <w:szCs w:val="20"/>
          <w:lang w:val="en"/>
        </w:rPr>
        <w:t>10.0</w:t>
      </w:r>
      <w:r w:rsidRPr="005118FE">
        <w:rPr>
          <w:rFonts w:ascii="Arial" w:hAnsi="Arial" w:cs="Arial"/>
          <w:sz w:val="20"/>
          <w:szCs w:val="20"/>
          <w:lang w:val="en"/>
        </w:rPr>
        <w:t xml:space="preserve"> million.</w:t>
      </w:r>
      <w:r w:rsidRPr="005118FE">
        <w:rPr>
          <w:rFonts w:ascii="Arial" w:hAnsi="Arial" w:cs="Arial"/>
          <w:spacing w:val="-3"/>
          <w:sz w:val="20"/>
          <w:szCs w:val="20"/>
          <w:lang w:val="en-GB"/>
        </w:rPr>
        <w:t xml:space="preserve"> </w:t>
      </w:r>
    </w:p>
    <w:p w14:paraId="4B779D1F" w14:textId="77777777" w:rsidR="0092128B" w:rsidRPr="005118FE" w:rsidRDefault="0092128B" w:rsidP="00BF17D9">
      <w:pPr>
        <w:tabs>
          <w:tab w:val="left" w:pos="-720"/>
        </w:tabs>
        <w:suppressAutoHyphens/>
        <w:spacing w:after="0" w:line="240" w:lineRule="auto"/>
        <w:jc w:val="both"/>
        <w:rPr>
          <w:rFonts w:ascii="Arial" w:hAnsi="Arial" w:cs="Arial"/>
          <w:sz w:val="20"/>
          <w:szCs w:val="20"/>
          <w:lang w:val="en"/>
        </w:rPr>
      </w:pPr>
    </w:p>
    <w:p w14:paraId="74C9EB1A" w14:textId="3315F9EF" w:rsidR="00BF17D9" w:rsidRDefault="003D5E90" w:rsidP="00BF17D9">
      <w:pPr>
        <w:tabs>
          <w:tab w:val="left" w:pos="-720"/>
        </w:tabs>
        <w:suppressAutoHyphens/>
        <w:spacing w:after="0" w:line="240" w:lineRule="auto"/>
        <w:jc w:val="both"/>
        <w:rPr>
          <w:rFonts w:ascii="Arial" w:hAnsi="Arial" w:cs="Arial"/>
          <w:spacing w:val="-3"/>
          <w:sz w:val="20"/>
          <w:szCs w:val="20"/>
          <w:lang w:val="en-GB"/>
        </w:rPr>
      </w:pPr>
      <w:r w:rsidRPr="005118FE">
        <w:rPr>
          <w:rFonts w:ascii="Arial" w:hAnsi="Arial" w:cs="Arial"/>
          <w:spacing w:val="-3"/>
          <w:sz w:val="20"/>
          <w:szCs w:val="20"/>
          <w:lang w:val="en-GB"/>
        </w:rPr>
        <w:t xml:space="preserve">The circumstances that affected the financial result achieved in the </w:t>
      </w:r>
      <w:r w:rsidR="00D85A7D" w:rsidRPr="005118FE">
        <w:rPr>
          <w:rFonts w:ascii="Arial" w:hAnsi="Arial" w:cs="Arial"/>
          <w:spacing w:val="-3"/>
          <w:sz w:val="20"/>
          <w:szCs w:val="20"/>
          <w:lang w:val="en-GB"/>
        </w:rPr>
        <w:t>six</w:t>
      </w:r>
      <w:r w:rsidRPr="005118FE">
        <w:rPr>
          <w:rFonts w:ascii="Arial" w:hAnsi="Arial" w:cs="Arial"/>
          <w:spacing w:val="-3"/>
          <w:sz w:val="20"/>
          <w:szCs w:val="20"/>
          <w:lang w:val="en-GB"/>
        </w:rPr>
        <w:t xml:space="preserve">-month reporting period </w:t>
      </w:r>
      <w:r w:rsidR="00BF17D9" w:rsidRPr="005118FE">
        <w:rPr>
          <w:rFonts w:ascii="Arial" w:hAnsi="Arial" w:cs="Arial"/>
          <w:spacing w:val="-3"/>
          <w:sz w:val="20"/>
          <w:szCs w:val="20"/>
          <w:lang w:val="en-GB"/>
        </w:rPr>
        <w:t>20</w:t>
      </w:r>
      <w:r w:rsidR="004861F7" w:rsidRPr="005118FE">
        <w:rPr>
          <w:rFonts w:ascii="Arial" w:hAnsi="Arial" w:cs="Arial"/>
          <w:spacing w:val="-3"/>
          <w:sz w:val="20"/>
          <w:szCs w:val="20"/>
          <w:lang w:val="en-GB"/>
        </w:rPr>
        <w:t>2</w:t>
      </w:r>
      <w:r w:rsidR="004576C5">
        <w:rPr>
          <w:rFonts w:ascii="Arial" w:hAnsi="Arial" w:cs="Arial"/>
          <w:spacing w:val="-3"/>
          <w:sz w:val="20"/>
          <w:szCs w:val="20"/>
          <w:lang w:val="en-GB"/>
        </w:rPr>
        <w:t>5</w:t>
      </w:r>
      <w:r w:rsidRPr="005118FE">
        <w:rPr>
          <w:rFonts w:ascii="Arial" w:hAnsi="Arial" w:cs="Arial"/>
          <w:spacing w:val="-3"/>
          <w:sz w:val="20"/>
          <w:szCs w:val="20"/>
          <w:lang w:val="en-GB"/>
        </w:rPr>
        <w:t xml:space="preserve"> compared to the results generated in the same period in</w:t>
      </w:r>
      <w:r w:rsidR="00BF17D9" w:rsidRPr="005118FE">
        <w:rPr>
          <w:rFonts w:ascii="Arial" w:hAnsi="Arial" w:cs="Arial"/>
          <w:spacing w:val="-3"/>
          <w:sz w:val="20"/>
          <w:szCs w:val="20"/>
          <w:lang w:val="en-GB"/>
        </w:rPr>
        <w:t xml:space="preserve"> 20</w:t>
      </w:r>
      <w:r w:rsidR="00AA1EBB" w:rsidRPr="005118FE">
        <w:rPr>
          <w:rFonts w:ascii="Arial" w:hAnsi="Arial" w:cs="Arial"/>
          <w:spacing w:val="-3"/>
          <w:sz w:val="20"/>
          <w:szCs w:val="20"/>
          <w:lang w:val="en-GB"/>
        </w:rPr>
        <w:t>2</w:t>
      </w:r>
      <w:r w:rsidR="004576C5">
        <w:rPr>
          <w:rFonts w:ascii="Arial" w:hAnsi="Arial" w:cs="Arial"/>
          <w:spacing w:val="-3"/>
          <w:sz w:val="20"/>
          <w:szCs w:val="20"/>
          <w:lang w:val="en-GB"/>
        </w:rPr>
        <w:t>4</w:t>
      </w:r>
      <w:r w:rsidRPr="005118FE">
        <w:rPr>
          <w:rFonts w:ascii="Arial" w:hAnsi="Arial" w:cs="Arial"/>
          <w:spacing w:val="-3"/>
          <w:sz w:val="20"/>
          <w:szCs w:val="20"/>
          <w:lang w:val="en-GB"/>
        </w:rPr>
        <w:t xml:space="preserve"> are</w:t>
      </w:r>
      <w:r w:rsidR="00BF17D9" w:rsidRPr="005118FE">
        <w:rPr>
          <w:rFonts w:ascii="Arial" w:hAnsi="Arial" w:cs="Arial"/>
          <w:spacing w:val="-3"/>
          <w:sz w:val="20"/>
          <w:szCs w:val="20"/>
          <w:lang w:val="en-GB"/>
        </w:rPr>
        <w:t>:</w:t>
      </w:r>
    </w:p>
    <w:p w14:paraId="337B02E3" w14:textId="77777777" w:rsidR="00DF150D" w:rsidRPr="005118FE" w:rsidRDefault="00DF150D" w:rsidP="00BF17D9">
      <w:pPr>
        <w:tabs>
          <w:tab w:val="left" w:pos="-720"/>
        </w:tabs>
        <w:suppressAutoHyphens/>
        <w:spacing w:after="0" w:line="240" w:lineRule="auto"/>
        <w:jc w:val="both"/>
        <w:rPr>
          <w:rFonts w:ascii="Arial" w:hAnsi="Arial" w:cs="Arial"/>
          <w:spacing w:val="-3"/>
          <w:sz w:val="20"/>
          <w:szCs w:val="20"/>
          <w:lang w:val="en-GB"/>
        </w:rPr>
      </w:pPr>
    </w:p>
    <w:p w14:paraId="0A4FBD13" w14:textId="488AACBD" w:rsidR="00DB7995" w:rsidRPr="00EC4A07" w:rsidRDefault="0086108D" w:rsidP="00D85A7D">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bCs/>
          <w:spacing w:val="-3"/>
          <w:sz w:val="20"/>
          <w:szCs w:val="20"/>
          <w:lang w:val="en-GB"/>
        </w:rPr>
        <w:t>in</w:t>
      </w:r>
      <w:r w:rsidR="003D5E90" w:rsidRPr="005118FE">
        <w:rPr>
          <w:rFonts w:ascii="Arial" w:hAnsi="Arial" w:cs="Arial"/>
          <w:bCs/>
          <w:spacing w:val="-3"/>
          <w:sz w:val="20"/>
          <w:szCs w:val="20"/>
          <w:lang w:val="en-GB"/>
        </w:rPr>
        <w:t xml:space="preserve">crease in interest income of </w:t>
      </w:r>
      <w:r w:rsidR="00D66F2F">
        <w:rPr>
          <w:rFonts w:ascii="Arial" w:hAnsi="Arial" w:cs="Arial"/>
          <w:bCs/>
          <w:spacing w:val="-3"/>
          <w:sz w:val="20"/>
          <w:szCs w:val="20"/>
          <w:lang w:val="en-GB"/>
        </w:rPr>
        <w:t>EUR</w:t>
      </w:r>
      <w:r w:rsidR="003D5E90" w:rsidRPr="005118FE">
        <w:rPr>
          <w:rFonts w:ascii="Arial" w:hAnsi="Arial" w:cs="Arial"/>
          <w:bCs/>
          <w:spacing w:val="-3"/>
          <w:sz w:val="20"/>
          <w:szCs w:val="20"/>
          <w:lang w:val="en-GB"/>
        </w:rPr>
        <w:t xml:space="preserve"> </w:t>
      </w:r>
      <w:r w:rsidR="004576C5">
        <w:rPr>
          <w:rFonts w:ascii="Arial" w:hAnsi="Arial" w:cs="Arial"/>
          <w:bCs/>
          <w:spacing w:val="-3"/>
          <w:sz w:val="20"/>
          <w:szCs w:val="20"/>
          <w:lang w:val="en-GB"/>
        </w:rPr>
        <w:t>2.1</w:t>
      </w:r>
      <w:r w:rsidR="0059334C" w:rsidRPr="005118FE">
        <w:rPr>
          <w:rFonts w:ascii="Arial" w:hAnsi="Arial" w:cs="Arial"/>
          <w:bCs/>
          <w:spacing w:val="-3"/>
          <w:sz w:val="20"/>
          <w:szCs w:val="20"/>
          <w:lang w:val="en-GB"/>
        </w:rPr>
        <w:t xml:space="preserve"> mil</w:t>
      </w:r>
      <w:r w:rsidR="003D5E90" w:rsidRPr="005118FE">
        <w:rPr>
          <w:rFonts w:ascii="Arial" w:hAnsi="Arial" w:cs="Arial"/>
          <w:bCs/>
          <w:spacing w:val="-3"/>
          <w:sz w:val="20"/>
          <w:szCs w:val="20"/>
          <w:lang w:val="en-GB"/>
        </w:rPr>
        <w:t>lion</w:t>
      </w:r>
      <w:r w:rsidR="0059334C" w:rsidRPr="005118FE">
        <w:rPr>
          <w:rFonts w:ascii="Arial" w:hAnsi="Arial" w:cs="Arial"/>
          <w:bCs/>
          <w:spacing w:val="-3"/>
          <w:sz w:val="20"/>
          <w:szCs w:val="20"/>
          <w:lang w:val="en-GB"/>
        </w:rPr>
        <w:t>,</w:t>
      </w:r>
    </w:p>
    <w:p w14:paraId="6875D199" w14:textId="24D197F3" w:rsidR="00EC4A07" w:rsidRPr="00EC4A07" w:rsidRDefault="00EC4A07" w:rsidP="00EC4A07">
      <w:pPr>
        <w:numPr>
          <w:ilvl w:val="0"/>
          <w:numId w:val="13"/>
        </w:numPr>
        <w:tabs>
          <w:tab w:val="left" w:pos="-720"/>
          <w:tab w:val="left" w:pos="709"/>
        </w:tabs>
        <w:suppressAutoHyphens/>
        <w:spacing w:after="0" w:line="240" w:lineRule="auto"/>
        <w:ind w:left="709" w:hanging="283"/>
        <w:contextualSpacing/>
        <w:jc w:val="both"/>
        <w:rPr>
          <w:rFonts w:ascii="Arial" w:eastAsia="Times New Roman" w:hAnsi="Arial" w:cs="Arial"/>
          <w:sz w:val="20"/>
          <w:szCs w:val="20"/>
          <w:lang w:eastAsia="hr-HR"/>
        </w:rPr>
      </w:pPr>
      <w:r w:rsidRPr="00225996">
        <w:rPr>
          <w:rFonts w:ascii="Arial" w:eastAsia="Calibri" w:hAnsi="Arial" w:cs="Arial"/>
          <w:sz w:val="20"/>
          <w:szCs w:val="20"/>
          <w:lang w:val="en-GB"/>
        </w:rPr>
        <w:t>increase income from the cancellation of the subsidy deferral at the expense of HBOR's operations</w:t>
      </w:r>
      <w:r w:rsidRPr="00225996">
        <w:rPr>
          <w:rFonts w:ascii="Arial" w:eastAsia="Times New Roman" w:hAnsi="Arial" w:cs="Arial"/>
          <w:bCs/>
          <w:spacing w:val="-3"/>
          <w:sz w:val="20"/>
          <w:szCs w:val="20"/>
          <w:lang w:eastAsia="hr-HR"/>
        </w:rPr>
        <w:t xml:space="preserve"> by EUR 0.</w:t>
      </w:r>
      <w:r>
        <w:rPr>
          <w:rFonts w:ascii="Arial" w:eastAsia="Times New Roman" w:hAnsi="Arial" w:cs="Arial"/>
          <w:bCs/>
          <w:spacing w:val="-3"/>
          <w:sz w:val="20"/>
          <w:szCs w:val="20"/>
          <w:lang w:eastAsia="hr-HR"/>
        </w:rPr>
        <w:t>3</w:t>
      </w:r>
      <w:r w:rsidRPr="00225996">
        <w:rPr>
          <w:rFonts w:ascii="Arial" w:eastAsia="Times New Roman" w:hAnsi="Arial" w:cs="Arial"/>
          <w:bCs/>
          <w:spacing w:val="-3"/>
          <w:sz w:val="20"/>
          <w:szCs w:val="20"/>
          <w:lang w:eastAsia="hr-HR"/>
        </w:rPr>
        <w:t xml:space="preserve"> million</w:t>
      </w:r>
      <w:r w:rsidRPr="00225996">
        <w:rPr>
          <w:rFonts w:ascii="Arial" w:eastAsia="Times New Roman" w:hAnsi="Arial" w:cs="Arial"/>
          <w:sz w:val="20"/>
          <w:szCs w:val="20"/>
          <w:lang w:eastAsia="hr-HR"/>
        </w:rPr>
        <w:t>,</w:t>
      </w:r>
    </w:p>
    <w:p w14:paraId="5936991A" w14:textId="48CCBD8C" w:rsidR="00AA1EBB" w:rsidRPr="005118FE" w:rsidRDefault="00AA40D9" w:rsidP="00AA1EBB">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bCs/>
          <w:spacing w:val="-3"/>
          <w:sz w:val="20"/>
          <w:szCs w:val="20"/>
          <w:lang w:val="en-GB"/>
        </w:rPr>
        <w:t>incr</w:t>
      </w:r>
      <w:r w:rsidR="00AA1EBB" w:rsidRPr="005118FE">
        <w:rPr>
          <w:rFonts w:ascii="Arial" w:hAnsi="Arial" w:cs="Arial"/>
          <w:bCs/>
          <w:spacing w:val="-3"/>
          <w:sz w:val="20"/>
          <w:szCs w:val="20"/>
          <w:lang w:val="en-GB"/>
        </w:rPr>
        <w:t xml:space="preserve">ease in interest expenses of </w:t>
      </w:r>
      <w:r>
        <w:rPr>
          <w:rFonts w:ascii="Arial" w:hAnsi="Arial" w:cs="Arial"/>
          <w:bCs/>
          <w:spacing w:val="-3"/>
          <w:sz w:val="20"/>
          <w:szCs w:val="20"/>
          <w:lang w:val="en-GB"/>
        </w:rPr>
        <w:t>EUR</w:t>
      </w:r>
      <w:r w:rsidR="00AD24B1">
        <w:rPr>
          <w:rFonts w:ascii="Arial" w:hAnsi="Arial" w:cs="Arial"/>
          <w:bCs/>
          <w:spacing w:val="-3"/>
          <w:sz w:val="20"/>
          <w:szCs w:val="20"/>
          <w:lang w:val="en-GB"/>
        </w:rPr>
        <w:t xml:space="preserve"> </w:t>
      </w:r>
      <w:r w:rsidR="003F794D">
        <w:rPr>
          <w:rFonts w:ascii="Arial" w:hAnsi="Arial" w:cs="Arial"/>
          <w:bCs/>
          <w:spacing w:val="-3"/>
          <w:sz w:val="20"/>
          <w:szCs w:val="20"/>
          <w:lang w:val="en-GB"/>
        </w:rPr>
        <w:t>2</w:t>
      </w:r>
      <w:r w:rsidR="00EC4A07">
        <w:rPr>
          <w:rFonts w:ascii="Arial" w:hAnsi="Arial" w:cs="Arial"/>
          <w:bCs/>
          <w:spacing w:val="-3"/>
          <w:sz w:val="20"/>
          <w:szCs w:val="20"/>
          <w:lang w:val="en-GB"/>
        </w:rPr>
        <w:t>.</w:t>
      </w:r>
      <w:r w:rsidR="003F794D">
        <w:rPr>
          <w:rFonts w:ascii="Arial" w:hAnsi="Arial" w:cs="Arial"/>
          <w:bCs/>
          <w:spacing w:val="-3"/>
          <w:sz w:val="20"/>
          <w:szCs w:val="20"/>
          <w:lang w:val="en-GB"/>
        </w:rPr>
        <w:t>1</w:t>
      </w:r>
      <w:r w:rsidR="00AA1EBB" w:rsidRPr="005118FE">
        <w:rPr>
          <w:rFonts w:ascii="Arial" w:hAnsi="Arial" w:cs="Arial"/>
          <w:bCs/>
          <w:spacing w:val="-3"/>
          <w:sz w:val="20"/>
          <w:szCs w:val="20"/>
          <w:lang w:val="en-GB"/>
        </w:rPr>
        <w:t xml:space="preserve"> million, </w:t>
      </w:r>
    </w:p>
    <w:p w14:paraId="0436E904" w14:textId="407727DE" w:rsidR="004861F7" w:rsidRPr="005118FE" w:rsidRDefault="003F794D" w:rsidP="00DB799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in</w:t>
      </w:r>
      <w:r w:rsidR="004861F7" w:rsidRPr="005118FE">
        <w:rPr>
          <w:rFonts w:ascii="Arial" w:hAnsi="Arial" w:cs="Arial"/>
          <w:spacing w:val="-3"/>
          <w:sz w:val="20"/>
          <w:szCs w:val="20"/>
          <w:lang w:val="en-GB"/>
        </w:rPr>
        <w:t xml:space="preserve">crease in net income from fees and commissions of </w:t>
      </w:r>
      <w:r w:rsidR="00AD24B1">
        <w:rPr>
          <w:rFonts w:ascii="Arial" w:hAnsi="Arial" w:cs="Arial"/>
          <w:spacing w:val="-3"/>
          <w:sz w:val="20"/>
          <w:szCs w:val="20"/>
          <w:lang w:val="en-GB"/>
        </w:rPr>
        <w:t>EUR</w:t>
      </w:r>
      <w:r w:rsidR="004861F7" w:rsidRPr="005118FE">
        <w:rPr>
          <w:rFonts w:ascii="Arial" w:hAnsi="Arial" w:cs="Arial"/>
          <w:spacing w:val="-3"/>
          <w:sz w:val="20"/>
          <w:szCs w:val="20"/>
          <w:lang w:val="en-GB"/>
        </w:rPr>
        <w:t xml:space="preserve"> </w:t>
      </w:r>
      <w:r>
        <w:rPr>
          <w:rFonts w:ascii="Arial" w:hAnsi="Arial" w:cs="Arial"/>
          <w:spacing w:val="-3"/>
          <w:sz w:val="20"/>
          <w:szCs w:val="20"/>
          <w:lang w:val="en-GB"/>
        </w:rPr>
        <w:t>0</w:t>
      </w:r>
      <w:r w:rsidR="00EC4A07">
        <w:rPr>
          <w:rFonts w:ascii="Arial" w:hAnsi="Arial" w:cs="Arial"/>
          <w:spacing w:val="-3"/>
          <w:sz w:val="20"/>
          <w:szCs w:val="20"/>
          <w:lang w:val="en-GB"/>
        </w:rPr>
        <w:t>.</w:t>
      </w:r>
      <w:r>
        <w:rPr>
          <w:rFonts w:ascii="Arial" w:hAnsi="Arial" w:cs="Arial"/>
          <w:spacing w:val="-3"/>
          <w:sz w:val="20"/>
          <w:szCs w:val="20"/>
          <w:lang w:val="en-GB"/>
        </w:rPr>
        <w:t>1</w:t>
      </w:r>
      <w:r w:rsidR="004861F7" w:rsidRPr="005118FE">
        <w:rPr>
          <w:rFonts w:ascii="Arial" w:hAnsi="Arial" w:cs="Arial"/>
          <w:spacing w:val="-3"/>
          <w:sz w:val="20"/>
          <w:szCs w:val="20"/>
          <w:lang w:val="en-GB"/>
        </w:rPr>
        <w:t xml:space="preserve"> million, </w:t>
      </w:r>
    </w:p>
    <w:p w14:paraId="6C884319" w14:textId="3FDA0203" w:rsidR="004861F7" w:rsidRPr="005118FE" w:rsidRDefault="00EC4A07" w:rsidP="00DB799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z w:val="20"/>
          <w:szCs w:val="20"/>
          <w:lang w:val="en"/>
        </w:rPr>
        <w:t>in</w:t>
      </w:r>
      <w:r w:rsidR="00D85A7D" w:rsidRPr="005118FE">
        <w:rPr>
          <w:rFonts w:ascii="Arial" w:hAnsi="Arial" w:cs="Arial"/>
          <w:sz w:val="20"/>
          <w:szCs w:val="20"/>
          <w:lang w:val="en"/>
        </w:rPr>
        <w:t xml:space="preserve">crease in net </w:t>
      </w:r>
      <w:r w:rsidR="00FC15D3" w:rsidRPr="005118FE">
        <w:rPr>
          <w:rFonts w:ascii="Arial" w:hAnsi="Arial" w:cs="Arial"/>
          <w:sz w:val="20"/>
          <w:szCs w:val="20"/>
          <w:lang w:val="en"/>
        </w:rPr>
        <w:t>gain</w:t>
      </w:r>
      <w:r w:rsidR="004F32A1" w:rsidRPr="005118FE">
        <w:rPr>
          <w:rFonts w:ascii="Arial" w:hAnsi="Arial" w:cs="Arial"/>
          <w:sz w:val="20"/>
          <w:szCs w:val="20"/>
          <w:lang w:val="en"/>
        </w:rPr>
        <w:t xml:space="preserve">s </w:t>
      </w:r>
      <w:r w:rsidR="00D85A7D" w:rsidRPr="005118FE">
        <w:rPr>
          <w:rFonts w:ascii="Arial" w:hAnsi="Arial" w:cs="Arial"/>
          <w:sz w:val="20"/>
          <w:szCs w:val="20"/>
          <w:lang w:val="en"/>
        </w:rPr>
        <w:t>from</w:t>
      </w:r>
      <w:r w:rsidR="00990EF1" w:rsidRPr="005118FE">
        <w:rPr>
          <w:rFonts w:ascii="Arial" w:hAnsi="Arial" w:cs="Arial"/>
          <w:sz w:val="20"/>
          <w:szCs w:val="20"/>
          <w:lang w:val="en"/>
        </w:rPr>
        <w:t xml:space="preserve"> financial activities in the amount of </w:t>
      </w:r>
      <w:r w:rsidR="00254837">
        <w:rPr>
          <w:rFonts w:ascii="Arial" w:hAnsi="Arial" w:cs="Arial"/>
          <w:sz w:val="20"/>
          <w:szCs w:val="20"/>
          <w:lang w:val="en"/>
        </w:rPr>
        <w:t xml:space="preserve">EUR </w:t>
      </w:r>
      <w:r w:rsidR="003F794D">
        <w:rPr>
          <w:rFonts w:ascii="Arial" w:hAnsi="Arial" w:cs="Arial"/>
          <w:sz w:val="20"/>
          <w:szCs w:val="20"/>
          <w:lang w:val="en"/>
        </w:rPr>
        <w:t>4</w:t>
      </w:r>
      <w:r w:rsidR="00254837">
        <w:rPr>
          <w:rFonts w:ascii="Arial" w:hAnsi="Arial" w:cs="Arial"/>
          <w:sz w:val="20"/>
          <w:szCs w:val="20"/>
          <w:lang w:val="en"/>
        </w:rPr>
        <w:t>.</w:t>
      </w:r>
      <w:r w:rsidR="003F794D">
        <w:rPr>
          <w:rFonts w:ascii="Arial" w:hAnsi="Arial" w:cs="Arial"/>
          <w:sz w:val="20"/>
          <w:szCs w:val="20"/>
          <w:lang w:val="en"/>
        </w:rPr>
        <w:t>7</w:t>
      </w:r>
      <w:r w:rsidR="00990EF1" w:rsidRPr="005118FE">
        <w:rPr>
          <w:rFonts w:ascii="Arial" w:hAnsi="Arial" w:cs="Arial"/>
          <w:sz w:val="20"/>
          <w:szCs w:val="20"/>
          <w:lang w:val="en"/>
        </w:rPr>
        <w:t xml:space="preserve"> million</w:t>
      </w:r>
      <w:r w:rsidR="00AA1EBB" w:rsidRPr="005118FE">
        <w:rPr>
          <w:rFonts w:ascii="Arial" w:hAnsi="Arial" w:cs="Arial"/>
          <w:sz w:val="20"/>
          <w:szCs w:val="20"/>
          <w:lang w:val="en"/>
        </w:rPr>
        <w:t>,</w:t>
      </w:r>
    </w:p>
    <w:p w14:paraId="45B16797" w14:textId="729D42BD" w:rsidR="00AA1EBB" w:rsidRPr="005118FE" w:rsidRDefault="003F794D" w:rsidP="00AA1EBB">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de</w:t>
      </w:r>
      <w:r w:rsidR="00AA1EBB" w:rsidRPr="005118FE">
        <w:rPr>
          <w:rFonts w:ascii="Arial" w:hAnsi="Arial" w:cs="Arial"/>
          <w:spacing w:val="-3"/>
          <w:sz w:val="20"/>
          <w:szCs w:val="20"/>
          <w:lang w:val="en-GB"/>
        </w:rPr>
        <w:t>c</w:t>
      </w:r>
      <w:r w:rsidR="00AA1EBB" w:rsidRPr="005118FE">
        <w:rPr>
          <w:rFonts w:ascii="Arial" w:hAnsi="Arial" w:cs="Arial"/>
          <w:sz w:val="20"/>
          <w:szCs w:val="20"/>
          <w:lang w:val="en-GB"/>
        </w:rPr>
        <w:t xml:space="preserve">rease in other income of </w:t>
      </w:r>
      <w:r w:rsidR="00254837">
        <w:rPr>
          <w:rFonts w:ascii="Arial" w:hAnsi="Arial" w:cs="Arial"/>
          <w:sz w:val="20"/>
          <w:szCs w:val="20"/>
          <w:lang w:val="en-GB"/>
        </w:rPr>
        <w:t>EUR</w:t>
      </w:r>
      <w:r w:rsidR="00AA1EBB" w:rsidRPr="005118FE">
        <w:rPr>
          <w:rFonts w:ascii="Arial" w:hAnsi="Arial" w:cs="Arial"/>
          <w:sz w:val="20"/>
          <w:szCs w:val="20"/>
          <w:lang w:val="en-GB"/>
        </w:rPr>
        <w:t xml:space="preserve"> </w:t>
      </w:r>
      <w:r>
        <w:rPr>
          <w:rFonts w:ascii="Arial" w:hAnsi="Arial" w:cs="Arial"/>
          <w:sz w:val="20"/>
          <w:szCs w:val="20"/>
          <w:lang w:val="en-GB"/>
        </w:rPr>
        <w:t>0</w:t>
      </w:r>
      <w:r w:rsidR="00EC4A07">
        <w:rPr>
          <w:rFonts w:ascii="Arial" w:hAnsi="Arial" w:cs="Arial"/>
          <w:sz w:val="20"/>
          <w:szCs w:val="20"/>
          <w:lang w:val="en-GB"/>
        </w:rPr>
        <w:t>.</w:t>
      </w:r>
      <w:r>
        <w:rPr>
          <w:rFonts w:ascii="Arial" w:hAnsi="Arial" w:cs="Arial"/>
          <w:sz w:val="20"/>
          <w:szCs w:val="20"/>
          <w:lang w:val="en-GB"/>
        </w:rPr>
        <w:t>7</w:t>
      </w:r>
      <w:r w:rsidR="00AA1EBB" w:rsidRPr="005118FE">
        <w:rPr>
          <w:rFonts w:ascii="Arial" w:hAnsi="Arial" w:cs="Arial"/>
          <w:sz w:val="20"/>
          <w:szCs w:val="20"/>
          <w:lang w:val="en-GB"/>
        </w:rPr>
        <w:t xml:space="preserve"> million,</w:t>
      </w:r>
    </w:p>
    <w:p w14:paraId="059186F3" w14:textId="41DA8DA3" w:rsidR="00AA1EBB" w:rsidRPr="005118FE" w:rsidRDefault="00EC4A07" w:rsidP="00AA1EBB">
      <w:pPr>
        <w:numPr>
          <w:ilvl w:val="0"/>
          <w:numId w:val="13"/>
        </w:numPr>
        <w:spacing w:after="0" w:line="240" w:lineRule="auto"/>
        <w:ind w:left="709" w:hanging="283"/>
        <w:contextualSpacing/>
        <w:jc w:val="both"/>
        <w:rPr>
          <w:rFonts w:ascii="Arial" w:hAnsi="Arial" w:cs="Arial"/>
          <w:spacing w:val="-3"/>
          <w:sz w:val="20"/>
          <w:szCs w:val="20"/>
          <w:lang w:val="en-GB" w:eastAsia="hr-HR"/>
        </w:rPr>
      </w:pPr>
      <w:r>
        <w:rPr>
          <w:rFonts w:ascii="Arial" w:hAnsi="Arial" w:cs="Arial"/>
          <w:spacing w:val="-3"/>
          <w:sz w:val="20"/>
          <w:szCs w:val="20"/>
          <w:lang w:val="en-GB" w:eastAsia="hr-HR"/>
        </w:rPr>
        <w:t>in</w:t>
      </w:r>
      <w:r w:rsidR="00585EF8" w:rsidRPr="005118FE">
        <w:rPr>
          <w:rFonts w:ascii="Arial" w:hAnsi="Arial" w:cs="Arial"/>
          <w:spacing w:val="-3"/>
          <w:sz w:val="20"/>
          <w:szCs w:val="20"/>
          <w:lang w:val="en-GB" w:eastAsia="hr-HR"/>
        </w:rPr>
        <w:t>crease in</w:t>
      </w:r>
      <w:r w:rsidR="00AA1EBB" w:rsidRPr="005118FE">
        <w:rPr>
          <w:rFonts w:ascii="Arial" w:hAnsi="Arial" w:cs="Arial"/>
          <w:spacing w:val="-3"/>
          <w:sz w:val="20"/>
          <w:szCs w:val="20"/>
          <w:lang w:val="en-GB" w:eastAsia="hr-HR"/>
        </w:rPr>
        <w:t xml:space="preserve"> </w:t>
      </w:r>
      <w:r w:rsidR="002D6AD9" w:rsidRPr="005118FE">
        <w:rPr>
          <w:rFonts w:ascii="Arial" w:hAnsi="Arial" w:cs="Arial"/>
          <w:spacing w:val="-3"/>
          <w:sz w:val="20"/>
          <w:szCs w:val="20"/>
          <w:lang w:val="en-GB" w:eastAsia="hr-HR"/>
        </w:rPr>
        <w:t>impairment gain and provisions</w:t>
      </w:r>
      <w:r w:rsidR="006750F2" w:rsidRPr="005118FE">
        <w:rPr>
          <w:rFonts w:ascii="Arial" w:hAnsi="Arial" w:cs="Arial"/>
          <w:spacing w:val="-3"/>
          <w:sz w:val="20"/>
          <w:szCs w:val="20"/>
          <w:lang w:val="en-GB" w:eastAsia="hr-HR"/>
        </w:rPr>
        <w:t xml:space="preserve"> b</w:t>
      </w:r>
      <w:r w:rsidR="00AA1EBB" w:rsidRPr="005118FE">
        <w:rPr>
          <w:rFonts w:ascii="Arial" w:hAnsi="Arial" w:cs="Arial"/>
          <w:spacing w:val="-3"/>
          <w:sz w:val="20"/>
          <w:szCs w:val="20"/>
          <w:lang w:val="en-GB" w:eastAsia="hr-HR"/>
        </w:rPr>
        <w:t xml:space="preserve">y </w:t>
      </w:r>
      <w:r w:rsidR="000F3410">
        <w:rPr>
          <w:rFonts w:ascii="Arial" w:hAnsi="Arial" w:cs="Arial"/>
          <w:spacing w:val="-3"/>
          <w:sz w:val="20"/>
          <w:szCs w:val="20"/>
          <w:lang w:val="en-GB" w:eastAsia="hr-HR"/>
        </w:rPr>
        <w:t>EUR</w:t>
      </w:r>
      <w:r w:rsidR="005B00A9">
        <w:rPr>
          <w:rFonts w:ascii="Arial" w:hAnsi="Arial" w:cs="Arial"/>
          <w:spacing w:val="-3"/>
          <w:sz w:val="20"/>
          <w:szCs w:val="20"/>
          <w:lang w:val="en-GB" w:eastAsia="hr-HR"/>
        </w:rPr>
        <w:t xml:space="preserve"> </w:t>
      </w:r>
      <w:r w:rsidR="003F794D">
        <w:rPr>
          <w:rFonts w:ascii="Arial" w:hAnsi="Arial" w:cs="Arial"/>
          <w:spacing w:val="-3"/>
          <w:sz w:val="20"/>
          <w:szCs w:val="20"/>
          <w:lang w:val="en-GB" w:eastAsia="hr-HR"/>
        </w:rPr>
        <w:t>20</w:t>
      </w:r>
      <w:r w:rsidR="005B00A9">
        <w:rPr>
          <w:rFonts w:ascii="Arial" w:hAnsi="Arial" w:cs="Arial"/>
          <w:spacing w:val="-3"/>
          <w:sz w:val="20"/>
          <w:szCs w:val="20"/>
          <w:lang w:val="en-GB" w:eastAsia="hr-HR"/>
        </w:rPr>
        <w:t>.</w:t>
      </w:r>
      <w:r w:rsidR="003F794D">
        <w:rPr>
          <w:rFonts w:ascii="Arial" w:hAnsi="Arial" w:cs="Arial"/>
          <w:spacing w:val="-3"/>
          <w:sz w:val="20"/>
          <w:szCs w:val="20"/>
          <w:lang w:val="en-GB" w:eastAsia="hr-HR"/>
        </w:rPr>
        <w:t>0</w:t>
      </w:r>
      <w:r w:rsidR="00AA1EBB" w:rsidRPr="005118FE">
        <w:rPr>
          <w:rFonts w:ascii="Arial" w:hAnsi="Arial" w:cs="Arial"/>
          <w:spacing w:val="-3"/>
          <w:sz w:val="20"/>
          <w:szCs w:val="20"/>
          <w:lang w:val="en-GB" w:eastAsia="hr-HR"/>
        </w:rPr>
        <w:t xml:space="preserve"> million</w:t>
      </w:r>
      <w:r w:rsidR="00AA1EBB" w:rsidRPr="005118FE">
        <w:rPr>
          <w:rFonts w:ascii="Arial" w:hAnsi="Arial" w:cs="Arial"/>
          <w:spacing w:val="-3"/>
          <w:sz w:val="20"/>
          <w:szCs w:val="20"/>
          <w:lang w:val="en-GB"/>
        </w:rPr>
        <w:t>,</w:t>
      </w:r>
    </w:p>
    <w:p w14:paraId="6DE13AE2" w14:textId="4CF000A1" w:rsidR="00B81116" w:rsidRDefault="00EC4A07" w:rsidP="00DC5AEB">
      <w:pPr>
        <w:pStyle w:val="ListParagraph"/>
        <w:numPr>
          <w:ilvl w:val="0"/>
          <w:numId w:val="13"/>
        </w:numPr>
        <w:tabs>
          <w:tab w:val="left" w:pos="-720"/>
          <w:tab w:val="left" w:pos="709"/>
          <w:tab w:val="left" w:pos="6804"/>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in</w:t>
      </w:r>
      <w:r w:rsidR="00781556" w:rsidRPr="005118FE">
        <w:rPr>
          <w:rFonts w:ascii="Arial" w:hAnsi="Arial" w:cs="Arial"/>
          <w:sz w:val="20"/>
          <w:szCs w:val="20"/>
          <w:lang w:val="en-GB"/>
        </w:rPr>
        <w:t xml:space="preserve">crease in operating expenses of </w:t>
      </w:r>
      <w:r w:rsidR="005B00A9">
        <w:rPr>
          <w:rFonts w:ascii="Arial" w:hAnsi="Arial" w:cs="Arial"/>
          <w:sz w:val="20"/>
          <w:szCs w:val="20"/>
          <w:lang w:val="en-GB"/>
        </w:rPr>
        <w:t xml:space="preserve">EUR </w:t>
      </w:r>
      <w:r w:rsidR="003F794D">
        <w:rPr>
          <w:rFonts w:ascii="Arial" w:hAnsi="Arial" w:cs="Arial"/>
          <w:sz w:val="20"/>
          <w:szCs w:val="20"/>
          <w:lang w:val="en-GB"/>
        </w:rPr>
        <w:t>2</w:t>
      </w:r>
      <w:r>
        <w:rPr>
          <w:rFonts w:ascii="Arial" w:hAnsi="Arial" w:cs="Arial"/>
          <w:sz w:val="20"/>
          <w:szCs w:val="20"/>
          <w:lang w:val="en-GB"/>
        </w:rPr>
        <w:t>.</w:t>
      </w:r>
      <w:r w:rsidR="003F794D">
        <w:rPr>
          <w:rFonts w:ascii="Arial" w:hAnsi="Arial" w:cs="Arial"/>
          <w:sz w:val="20"/>
          <w:szCs w:val="20"/>
          <w:lang w:val="en-GB"/>
        </w:rPr>
        <w:t>2</w:t>
      </w:r>
      <w:r w:rsidR="00B81116" w:rsidRPr="005118FE">
        <w:rPr>
          <w:rFonts w:ascii="Arial" w:hAnsi="Arial" w:cs="Arial"/>
          <w:spacing w:val="-3"/>
          <w:sz w:val="20"/>
          <w:szCs w:val="20"/>
          <w:lang w:val="en-GB"/>
        </w:rPr>
        <w:t xml:space="preserve"> mil</w:t>
      </w:r>
      <w:r w:rsidR="00781556" w:rsidRPr="005118FE">
        <w:rPr>
          <w:rFonts w:ascii="Arial" w:hAnsi="Arial" w:cs="Arial"/>
          <w:spacing w:val="-3"/>
          <w:sz w:val="20"/>
          <w:szCs w:val="20"/>
          <w:lang w:val="en-GB"/>
        </w:rPr>
        <w:t xml:space="preserve">lion, </w:t>
      </w:r>
    </w:p>
    <w:p w14:paraId="478B5F0B" w14:textId="4AC7FD76" w:rsidR="00EC4A07" w:rsidRPr="00EC4A07" w:rsidRDefault="00EC4A07" w:rsidP="00EC4A07">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 xml:space="preserve">increase in subsidy cost at the expense of HBOR’s operations by EUR </w:t>
      </w:r>
      <w:r w:rsidR="00D34D75">
        <w:rPr>
          <w:rFonts w:ascii="Arial" w:hAnsi="Arial" w:cs="Arial"/>
          <w:spacing w:val="-3"/>
          <w:sz w:val="20"/>
          <w:szCs w:val="20"/>
          <w:lang w:val="en-GB"/>
        </w:rPr>
        <w:t>5</w:t>
      </w:r>
      <w:r>
        <w:rPr>
          <w:rFonts w:ascii="Arial" w:hAnsi="Arial" w:cs="Arial"/>
          <w:spacing w:val="-3"/>
          <w:sz w:val="20"/>
          <w:szCs w:val="20"/>
          <w:lang w:val="en-GB"/>
        </w:rPr>
        <w:t>.</w:t>
      </w:r>
      <w:r w:rsidR="00D34D75">
        <w:rPr>
          <w:rFonts w:ascii="Arial" w:hAnsi="Arial" w:cs="Arial"/>
          <w:spacing w:val="-3"/>
          <w:sz w:val="20"/>
          <w:szCs w:val="20"/>
          <w:lang w:val="en-GB"/>
        </w:rPr>
        <w:t>7</w:t>
      </w:r>
      <w:r>
        <w:rPr>
          <w:rFonts w:ascii="Arial" w:hAnsi="Arial" w:cs="Arial"/>
          <w:spacing w:val="-3"/>
          <w:sz w:val="20"/>
          <w:szCs w:val="20"/>
          <w:lang w:val="en-GB"/>
        </w:rPr>
        <w:t xml:space="preserve"> million.</w:t>
      </w:r>
    </w:p>
    <w:p w14:paraId="42F27B23" w14:textId="77777777" w:rsidR="007D3F76" w:rsidRPr="005118FE" w:rsidRDefault="007D3F76" w:rsidP="00BF17D9">
      <w:pPr>
        <w:tabs>
          <w:tab w:val="left" w:pos="-720"/>
        </w:tabs>
        <w:suppressAutoHyphens/>
        <w:spacing w:after="0" w:line="240" w:lineRule="auto"/>
        <w:jc w:val="both"/>
        <w:rPr>
          <w:rFonts w:ascii="Arial" w:hAnsi="Arial" w:cs="Arial"/>
          <w:spacing w:val="-3"/>
          <w:sz w:val="20"/>
          <w:szCs w:val="20"/>
          <w:lang w:val="en-GB"/>
        </w:rPr>
      </w:pPr>
    </w:p>
    <w:p w14:paraId="6B6ABBB6" w14:textId="77777777" w:rsidR="00BF17D9" w:rsidRDefault="00D34D2C" w:rsidP="00BF17D9">
      <w:pPr>
        <w:tabs>
          <w:tab w:val="left" w:pos="-720"/>
        </w:tabs>
        <w:suppressAutoHyphens/>
        <w:spacing w:after="0" w:line="240" w:lineRule="auto"/>
        <w:jc w:val="both"/>
        <w:rPr>
          <w:rFonts w:ascii="Arial" w:hAnsi="Arial" w:cs="Arial"/>
          <w:spacing w:val="-3"/>
          <w:sz w:val="20"/>
          <w:szCs w:val="20"/>
          <w:lang w:val="en-GB"/>
        </w:rPr>
      </w:pPr>
      <w:r w:rsidRPr="005118FE">
        <w:rPr>
          <w:rFonts w:ascii="Arial" w:eastAsia="Times New Roman" w:hAnsi="Arial" w:cs="Arial"/>
          <w:spacing w:val="-3"/>
          <w:sz w:val="20"/>
          <w:szCs w:val="20"/>
          <w:lang w:val="en-GB" w:eastAsia="hr-HR"/>
        </w:rPr>
        <w:t>A detailed description of trends is given for each category separately in the following text</w:t>
      </w:r>
      <w:r w:rsidR="00BF17D9" w:rsidRPr="005118FE">
        <w:rPr>
          <w:rFonts w:ascii="Arial" w:hAnsi="Arial" w:cs="Arial"/>
          <w:spacing w:val="-3"/>
          <w:sz w:val="20"/>
          <w:szCs w:val="20"/>
          <w:lang w:val="en-GB"/>
        </w:rPr>
        <w:t>.</w:t>
      </w:r>
    </w:p>
    <w:p w14:paraId="0B9B3505"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2A63E5EE"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118B4B43"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4F48731"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7572D0DC"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765E7B69"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2ABE51B4"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0569D68"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AC564EA"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4A259743"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76E25469"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50F16D1F"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26421B25"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287AE141"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278F0EC7"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BB45BB0"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B62414E"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752DB1EB"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70BF5D50"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5A70E723"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58F9134A"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BA46ACA"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62DA1295"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3BE702B8"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0DAA22E0"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0F15E81A"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01D57FD6" w14:textId="77777777" w:rsidR="003779BF" w:rsidRDefault="003779BF" w:rsidP="00BF17D9">
      <w:pPr>
        <w:tabs>
          <w:tab w:val="left" w:pos="-720"/>
        </w:tabs>
        <w:suppressAutoHyphens/>
        <w:spacing w:after="0" w:line="240" w:lineRule="auto"/>
        <w:jc w:val="both"/>
        <w:rPr>
          <w:rFonts w:ascii="Arial" w:hAnsi="Arial" w:cs="Arial"/>
          <w:spacing w:val="-3"/>
          <w:sz w:val="20"/>
          <w:szCs w:val="20"/>
          <w:lang w:val="en-GB"/>
        </w:rPr>
      </w:pPr>
    </w:p>
    <w:p w14:paraId="3A0843AC" w14:textId="77777777" w:rsidR="003779BF" w:rsidRPr="005118FE" w:rsidRDefault="003779BF" w:rsidP="00BF17D9">
      <w:pPr>
        <w:tabs>
          <w:tab w:val="left" w:pos="-720"/>
        </w:tabs>
        <w:suppressAutoHyphens/>
        <w:spacing w:after="0" w:line="240" w:lineRule="auto"/>
        <w:jc w:val="both"/>
        <w:rPr>
          <w:rFonts w:ascii="Arial" w:hAnsi="Arial" w:cs="Arial"/>
          <w:spacing w:val="-3"/>
          <w:sz w:val="20"/>
          <w:szCs w:val="20"/>
          <w:lang w:val="en-GB"/>
        </w:rPr>
      </w:pPr>
    </w:p>
    <w:p w14:paraId="78B038B0" w14:textId="77777777" w:rsidR="00C16DA8" w:rsidRPr="00041197"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041197" w:rsidSect="00F24D36">
          <w:footerReference w:type="default" r:id="rId25"/>
          <w:pgSz w:w="11906" w:h="16838"/>
          <w:pgMar w:top="1417" w:right="1417" w:bottom="1417" w:left="1276" w:header="708" w:footer="708" w:gutter="0"/>
          <w:cols w:space="708"/>
          <w:docGrid w:linePitch="360"/>
        </w:sectPr>
      </w:pPr>
    </w:p>
    <w:p w14:paraId="53746224" w14:textId="529C5343" w:rsidR="00E43402" w:rsidRPr="00AB7A2D" w:rsidRDefault="00632DBF" w:rsidP="0008445B">
      <w:pPr>
        <w:suppressAutoHyphens/>
        <w:spacing w:after="0" w:line="240" w:lineRule="auto"/>
        <w:ind w:left="-142" w:right="-426"/>
        <w:rPr>
          <w:rFonts w:eastAsia="Times New Roman" w:cs="Calibri"/>
          <w:b/>
          <w:i/>
          <w:noProof/>
          <w:spacing w:val="-3"/>
          <w:sz w:val="24"/>
          <w:szCs w:val="24"/>
          <w:lang w:eastAsia="hr-HR"/>
        </w:rPr>
      </w:pPr>
      <w:r>
        <w:rPr>
          <w:rFonts w:eastAsia="Times New Roman" w:cs="Calibri"/>
          <w:b/>
          <w:i/>
          <w:noProof/>
          <w:spacing w:val="-3"/>
          <w:sz w:val="24"/>
          <w:szCs w:val="24"/>
          <w:lang w:eastAsia="hr-HR"/>
        </w:rPr>
        <w:lastRenderedPageBreak/>
        <w:drawing>
          <wp:inline distT="0" distB="0" distL="0" distR="0" wp14:anchorId="3BFEDF1A" wp14:editId="7C48ECF9">
            <wp:extent cx="3013544" cy="2828278"/>
            <wp:effectExtent l="0" t="0" r="0" b="0"/>
            <wp:docPr id="40892935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5662" cy="2858422"/>
                    </a:xfrm>
                    <a:prstGeom prst="rect">
                      <a:avLst/>
                    </a:prstGeom>
                    <a:noFill/>
                  </pic:spPr>
                </pic:pic>
              </a:graphicData>
            </a:graphic>
          </wp:inline>
        </w:drawing>
      </w:r>
      <w:r w:rsidR="00E43402" w:rsidRPr="00AB7A2D">
        <w:rPr>
          <w:rFonts w:eastAsia="Times New Roman" w:cs="Calibri"/>
          <w:b/>
          <w:i/>
          <w:noProof/>
          <w:spacing w:val="-3"/>
          <w:sz w:val="24"/>
          <w:szCs w:val="24"/>
          <w:lang w:eastAsia="hr-HR"/>
        </w:rPr>
        <w:t xml:space="preserve"> </w:t>
      </w:r>
      <w:r w:rsidR="00551404" w:rsidRPr="00AB7A2D">
        <w:rPr>
          <w:rFonts w:eastAsia="Times New Roman" w:cs="Calibri"/>
          <w:b/>
          <w:i/>
          <w:noProof/>
          <w:spacing w:val="-3"/>
          <w:sz w:val="24"/>
          <w:szCs w:val="24"/>
          <w:lang w:eastAsia="hr-HR"/>
        </w:rPr>
        <w:t xml:space="preserve">  </w:t>
      </w:r>
      <w:r>
        <w:rPr>
          <w:rFonts w:eastAsia="Times New Roman" w:cs="Calibri"/>
          <w:b/>
          <w:i/>
          <w:noProof/>
          <w:spacing w:val="-3"/>
          <w:sz w:val="24"/>
          <w:szCs w:val="24"/>
          <w:lang w:eastAsia="hr-HR"/>
        </w:rPr>
        <w:drawing>
          <wp:inline distT="0" distB="0" distL="0" distR="0" wp14:anchorId="3FE353B5" wp14:editId="29AA1088">
            <wp:extent cx="3005241" cy="2821002"/>
            <wp:effectExtent l="0" t="0" r="5080" b="0"/>
            <wp:docPr id="153799318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2480" cy="2855958"/>
                    </a:xfrm>
                    <a:prstGeom prst="rect">
                      <a:avLst/>
                    </a:prstGeom>
                    <a:noFill/>
                  </pic:spPr>
                </pic:pic>
              </a:graphicData>
            </a:graphic>
          </wp:inline>
        </w:drawing>
      </w:r>
    </w:p>
    <w:p w14:paraId="32E5D745" w14:textId="77777777"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419338BC" w14:textId="77777777" w:rsidR="00AB7A2D" w:rsidRDefault="00AB7A2D" w:rsidP="0008445B">
      <w:pPr>
        <w:tabs>
          <w:tab w:val="left" w:pos="-720"/>
        </w:tabs>
        <w:suppressAutoHyphens/>
        <w:spacing w:after="0" w:line="240" w:lineRule="auto"/>
        <w:ind w:right="-426"/>
        <w:rPr>
          <w:rFonts w:eastAsia="Times New Roman" w:cs="Calibri"/>
          <w:b/>
          <w:i/>
          <w:spacing w:val="-3"/>
          <w:sz w:val="18"/>
          <w:szCs w:val="24"/>
          <w:lang w:val="en-GB" w:eastAsia="hr-HR"/>
        </w:rPr>
      </w:pPr>
    </w:p>
    <w:p w14:paraId="71B942CA" w14:textId="6A0E7129" w:rsidR="00E43402" w:rsidRPr="00AB7A2D" w:rsidRDefault="00632DBF" w:rsidP="0008445B">
      <w:pPr>
        <w:tabs>
          <w:tab w:val="left" w:pos="-720"/>
        </w:tabs>
        <w:suppressAutoHyphens/>
        <w:spacing w:after="0" w:line="240" w:lineRule="auto"/>
        <w:ind w:left="-142" w:right="-426"/>
        <w:rPr>
          <w:rFonts w:eastAsia="Times New Roman" w:cs="Calibri"/>
          <w:b/>
          <w:i/>
          <w:noProof/>
          <w:spacing w:val="-3"/>
          <w:sz w:val="24"/>
          <w:szCs w:val="24"/>
          <w:lang w:eastAsia="hr-HR"/>
        </w:rPr>
      </w:pPr>
      <w:r>
        <w:rPr>
          <w:rFonts w:eastAsia="Times New Roman" w:cs="Calibri"/>
          <w:b/>
          <w:i/>
          <w:noProof/>
          <w:spacing w:val="-3"/>
          <w:sz w:val="24"/>
          <w:szCs w:val="24"/>
          <w:lang w:eastAsia="hr-HR"/>
        </w:rPr>
        <w:drawing>
          <wp:inline distT="0" distB="0" distL="0" distR="0" wp14:anchorId="1AB3B1DC" wp14:editId="23E88103">
            <wp:extent cx="3013075" cy="2858135"/>
            <wp:effectExtent l="0" t="0" r="0" b="0"/>
            <wp:docPr id="173321217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4473" cy="2887918"/>
                    </a:xfrm>
                    <a:prstGeom prst="rect">
                      <a:avLst/>
                    </a:prstGeom>
                    <a:noFill/>
                  </pic:spPr>
                </pic:pic>
              </a:graphicData>
            </a:graphic>
          </wp:inline>
        </w:drawing>
      </w:r>
      <w:r w:rsidR="00217A10" w:rsidRPr="00AB7A2D">
        <w:rPr>
          <w:rFonts w:eastAsia="Times New Roman" w:cs="Calibri"/>
          <w:b/>
          <w:i/>
          <w:noProof/>
          <w:spacing w:val="-3"/>
          <w:sz w:val="24"/>
          <w:szCs w:val="24"/>
          <w:lang w:eastAsia="hr-HR"/>
        </w:rPr>
        <w:t xml:space="preserve"> </w:t>
      </w:r>
      <w:r w:rsidR="00F427B5" w:rsidRPr="00AB7A2D">
        <w:rPr>
          <w:rFonts w:eastAsia="Times New Roman" w:cs="Calibri"/>
          <w:b/>
          <w:i/>
          <w:noProof/>
          <w:spacing w:val="-3"/>
          <w:sz w:val="24"/>
          <w:szCs w:val="24"/>
          <w:lang w:eastAsia="hr-HR"/>
        </w:rPr>
        <w:t xml:space="preserve"> </w:t>
      </w:r>
      <w:r w:rsidR="00267EEB" w:rsidRPr="00AB7A2D">
        <w:rPr>
          <w:rFonts w:eastAsia="Times New Roman" w:cs="Calibri"/>
          <w:b/>
          <w:i/>
          <w:noProof/>
          <w:spacing w:val="-3"/>
          <w:sz w:val="24"/>
          <w:szCs w:val="24"/>
          <w:lang w:eastAsia="hr-HR"/>
        </w:rPr>
        <w:t xml:space="preserve"> </w:t>
      </w:r>
      <w:r>
        <w:rPr>
          <w:rFonts w:eastAsia="Times New Roman" w:cs="Calibri"/>
          <w:b/>
          <w:i/>
          <w:noProof/>
          <w:spacing w:val="-3"/>
          <w:sz w:val="24"/>
          <w:szCs w:val="24"/>
          <w:lang w:eastAsia="hr-HR"/>
        </w:rPr>
        <w:drawing>
          <wp:inline distT="0" distB="0" distL="0" distR="0" wp14:anchorId="70A05634" wp14:editId="33858267">
            <wp:extent cx="3012849" cy="2855898"/>
            <wp:effectExtent l="0" t="0" r="0" b="1905"/>
            <wp:docPr id="142188277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15300" cy="2858222"/>
                    </a:xfrm>
                    <a:prstGeom prst="rect">
                      <a:avLst/>
                    </a:prstGeom>
                    <a:noFill/>
                  </pic:spPr>
                </pic:pic>
              </a:graphicData>
            </a:graphic>
          </wp:inline>
        </w:drawing>
      </w:r>
    </w:p>
    <w:p w14:paraId="39D4D1ED" w14:textId="77777777" w:rsidR="00551404" w:rsidRPr="00AB7A2D" w:rsidRDefault="00551404" w:rsidP="00AB7A2D">
      <w:pPr>
        <w:tabs>
          <w:tab w:val="left" w:pos="-720"/>
        </w:tabs>
        <w:suppressAutoHyphens/>
        <w:spacing w:after="0" w:line="240" w:lineRule="auto"/>
        <w:ind w:left="-284" w:right="-426"/>
        <w:rPr>
          <w:rFonts w:eastAsia="Times New Roman" w:cs="Calibri"/>
          <w:b/>
          <w:i/>
          <w:noProof/>
          <w:spacing w:val="-3"/>
          <w:sz w:val="24"/>
          <w:szCs w:val="24"/>
          <w:lang w:eastAsia="hr-HR"/>
        </w:rPr>
      </w:pPr>
      <w:r w:rsidRPr="00AB7A2D">
        <w:rPr>
          <w:rFonts w:eastAsia="Times New Roman" w:cs="Calibri"/>
          <w:b/>
          <w:i/>
          <w:noProof/>
          <w:spacing w:val="-3"/>
          <w:sz w:val="24"/>
          <w:szCs w:val="24"/>
          <w:lang w:eastAsia="hr-HR"/>
        </w:rPr>
        <w:t xml:space="preserve">  </w:t>
      </w:r>
    </w:p>
    <w:p w14:paraId="1EA24E9D" w14:textId="77777777" w:rsidR="00551404" w:rsidRPr="00AB7A2D" w:rsidRDefault="00551404" w:rsidP="00AB7A2D">
      <w:pPr>
        <w:tabs>
          <w:tab w:val="left" w:pos="-720"/>
        </w:tabs>
        <w:suppressAutoHyphens/>
        <w:spacing w:after="0" w:line="240" w:lineRule="auto"/>
        <w:ind w:left="-284" w:right="-426"/>
        <w:rPr>
          <w:rFonts w:eastAsia="Times New Roman" w:cs="Calibri"/>
          <w:b/>
          <w:i/>
          <w:noProof/>
          <w:spacing w:val="-3"/>
          <w:sz w:val="24"/>
          <w:szCs w:val="24"/>
          <w:lang w:eastAsia="hr-HR"/>
        </w:rPr>
      </w:pPr>
    </w:p>
    <w:p w14:paraId="6C9923FB" w14:textId="348648C4" w:rsidR="00B157D4" w:rsidRPr="00041197"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41197" w:rsidSect="00F24D36">
          <w:footerReference w:type="default" r:id="rId30"/>
          <w:pgSz w:w="11906" w:h="16838"/>
          <w:pgMar w:top="1417" w:right="1417" w:bottom="1417" w:left="1276" w:header="708" w:footer="708" w:gutter="0"/>
          <w:cols w:space="708"/>
          <w:docGrid w:linePitch="360"/>
        </w:sectPr>
      </w:pPr>
      <w:r>
        <w:rPr>
          <w:rFonts w:eastAsia="Times New Roman" w:cs="Calibri"/>
          <w:b/>
          <w:i/>
          <w:spacing w:val="-3"/>
          <w:sz w:val="24"/>
          <w:szCs w:val="24"/>
          <w:lang w:val="en-GB" w:eastAsia="hr-HR"/>
        </w:rPr>
        <w:t xml:space="preserve"> </w:t>
      </w:r>
    </w:p>
    <w:p w14:paraId="4A0650CA" w14:textId="77777777" w:rsidR="007C74A7" w:rsidRPr="005118FE" w:rsidRDefault="007C74A7" w:rsidP="007C74A7">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5118FE">
        <w:rPr>
          <w:rFonts w:ascii="Arial" w:eastAsia="Times New Roman" w:hAnsi="Arial" w:cs="Arial"/>
          <w:b/>
          <w:i/>
          <w:spacing w:val="-3"/>
          <w:sz w:val="20"/>
          <w:szCs w:val="20"/>
          <w:lang w:val="en-GB" w:eastAsia="hr-HR"/>
        </w:rPr>
        <w:lastRenderedPageBreak/>
        <w:t>Net interest income</w:t>
      </w:r>
    </w:p>
    <w:p w14:paraId="6F5631EB" w14:textId="77777777" w:rsidR="00BF17D9" w:rsidRPr="005118FE"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58C5EAB9" w14:textId="0B913026" w:rsidR="00BF17D9" w:rsidRPr="005118FE" w:rsidRDefault="0038011D" w:rsidP="00D83EB3">
      <w:pPr>
        <w:tabs>
          <w:tab w:val="left" w:pos="-720"/>
          <w:tab w:val="left" w:pos="9072"/>
        </w:tabs>
        <w:suppressAutoHyphens/>
        <w:spacing w:after="0" w:line="240" w:lineRule="auto"/>
        <w:jc w:val="both"/>
        <w:rPr>
          <w:rFonts w:ascii="Arial" w:hAnsi="Arial" w:cs="Arial"/>
          <w:spacing w:val="-3"/>
          <w:sz w:val="20"/>
          <w:szCs w:val="20"/>
          <w:lang w:val="en-GB"/>
        </w:rPr>
      </w:pPr>
      <w:r w:rsidRPr="005118FE">
        <w:rPr>
          <w:rFonts w:ascii="Arial" w:hAnsi="Arial" w:cs="Arial"/>
          <w:spacing w:val="-3"/>
          <w:sz w:val="20"/>
          <w:szCs w:val="20"/>
          <w:lang w:val="en-GB"/>
        </w:rPr>
        <w:t xml:space="preserve">Net interest income amounted to </w:t>
      </w:r>
      <w:r w:rsidR="00930BC8">
        <w:rPr>
          <w:rFonts w:ascii="Arial" w:hAnsi="Arial" w:cs="Arial"/>
          <w:spacing w:val="-3"/>
          <w:sz w:val="20"/>
          <w:szCs w:val="20"/>
          <w:lang w:val="en-GB"/>
        </w:rPr>
        <w:t>EUR</w:t>
      </w:r>
      <w:r w:rsidR="00DD5B9C">
        <w:rPr>
          <w:rFonts w:ascii="Arial" w:hAnsi="Arial" w:cs="Arial"/>
          <w:spacing w:val="-3"/>
          <w:sz w:val="20"/>
          <w:szCs w:val="20"/>
          <w:lang w:val="en-GB"/>
        </w:rPr>
        <w:t xml:space="preserve"> 3</w:t>
      </w:r>
      <w:r w:rsidR="00BE2573">
        <w:rPr>
          <w:rFonts w:ascii="Arial" w:hAnsi="Arial" w:cs="Arial"/>
          <w:spacing w:val="-3"/>
          <w:sz w:val="20"/>
          <w:szCs w:val="20"/>
          <w:lang w:val="en-GB"/>
        </w:rPr>
        <w:t>4</w:t>
      </w:r>
      <w:r w:rsidR="00DD5B9C">
        <w:rPr>
          <w:rFonts w:ascii="Arial" w:hAnsi="Arial" w:cs="Arial"/>
          <w:spacing w:val="-3"/>
          <w:sz w:val="20"/>
          <w:szCs w:val="20"/>
          <w:lang w:val="en-GB"/>
        </w:rPr>
        <w:t>.</w:t>
      </w:r>
      <w:r w:rsidR="006866F8">
        <w:rPr>
          <w:rFonts w:ascii="Arial" w:hAnsi="Arial" w:cs="Arial"/>
          <w:spacing w:val="-3"/>
          <w:sz w:val="20"/>
          <w:szCs w:val="20"/>
          <w:lang w:val="en-GB"/>
        </w:rPr>
        <w:t>4</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million, a</w:t>
      </w:r>
      <w:r w:rsidR="00BE2573">
        <w:rPr>
          <w:rFonts w:ascii="Arial" w:hAnsi="Arial" w:cs="Arial"/>
          <w:spacing w:val="-3"/>
          <w:sz w:val="20"/>
          <w:szCs w:val="20"/>
          <w:lang w:val="en-GB"/>
        </w:rPr>
        <w:t>n</w:t>
      </w:r>
      <w:r w:rsidRPr="005118FE">
        <w:rPr>
          <w:rFonts w:ascii="Arial" w:hAnsi="Arial" w:cs="Arial"/>
          <w:spacing w:val="-3"/>
          <w:sz w:val="20"/>
          <w:szCs w:val="20"/>
          <w:lang w:val="en-GB"/>
        </w:rPr>
        <w:t xml:space="preserve"> </w:t>
      </w:r>
      <w:r w:rsidR="00BE2573">
        <w:rPr>
          <w:rFonts w:ascii="Arial" w:hAnsi="Arial" w:cs="Arial"/>
          <w:spacing w:val="-3"/>
          <w:sz w:val="20"/>
          <w:szCs w:val="20"/>
          <w:lang w:val="en-GB"/>
        </w:rPr>
        <w:t>in</w:t>
      </w:r>
      <w:r w:rsidRPr="005118FE">
        <w:rPr>
          <w:rFonts w:ascii="Arial" w:hAnsi="Arial" w:cs="Arial"/>
          <w:spacing w:val="-3"/>
          <w:sz w:val="20"/>
          <w:szCs w:val="20"/>
          <w:lang w:val="en-GB"/>
        </w:rPr>
        <w:t xml:space="preserve">crease of </w:t>
      </w:r>
      <w:r w:rsidR="006866F8">
        <w:rPr>
          <w:rFonts w:ascii="Arial" w:hAnsi="Arial" w:cs="Arial"/>
          <w:spacing w:val="-3"/>
          <w:sz w:val="20"/>
          <w:szCs w:val="20"/>
          <w:lang w:val="en-GB"/>
        </w:rPr>
        <w:t>0</w:t>
      </w:r>
      <w:r w:rsidR="00BE2573">
        <w:rPr>
          <w:rFonts w:ascii="Arial" w:hAnsi="Arial" w:cs="Arial"/>
          <w:spacing w:val="-3"/>
          <w:sz w:val="20"/>
          <w:szCs w:val="20"/>
          <w:lang w:val="en-GB"/>
        </w:rPr>
        <w:t>.</w:t>
      </w:r>
      <w:r w:rsidR="00674D1A">
        <w:rPr>
          <w:rFonts w:ascii="Arial" w:hAnsi="Arial" w:cs="Arial"/>
          <w:spacing w:val="-3"/>
          <w:sz w:val="20"/>
          <w:szCs w:val="20"/>
          <w:lang w:val="en-GB"/>
        </w:rPr>
        <w:t>9</w:t>
      </w:r>
      <w:r w:rsidRPr="005118FE">
        <w:rPr>
          <w:rFonts w:ascii="Arial" w:hAnsi="Arial" w:cs="Arial"/>
          <w:spacing w:val="-3"/>
          <w:sz w:val="20"/>
          <w:szCs w:val="20"/>
          <w:lang w:val="en-GB"/>
        </w:rPr>
        <w:t xml:space="preserve"> percent</w:t>
      </w:r>
      <w:r w:rsidR="00BF17D9" w:rsidRPr="005118FE">
        <w:rPr>
          <w:rFonts w:ascii="Arial" w:hAnsi="Arial" w:cs="Arial"/>
          <w:spacing w:val="-3"/>
          <w:sz w:val="20"/>
          <w:szCs w:val="20"/>
          <w:lang w:val="en-GB"/>
        </w:rPr>
        <w:t xml:space="preserve"> </w:t>
      </w:r>
      <w:r w:rsidRPr="005118FE">
        <w:rPr>
          <w:rFonts w:ascii="Arial" w:hAnsi="Arial" w:cs="Arial"/>
          <w:spacing w:val="-3"/>
          <w:sz w:val="20"/>
          <w:szCs w:val="20"/>
          <w:lang w:val="en-GB"/>
        </w:rPr>
        <w:t>on the same</w:t>
      </w:r>
      <w:r w:rsidR="00D83EB3" w:rsidRPr="005118FE">
        <w:rPr>
          <w:rFonts w:ascii="Arial" w:hAnsi="Arial" w:cs="Arial"/>
          <w:spacing w:val="-3"/>
          <w:sz w:val="20"/>
          <w:szCs w:val="20"/>
          <w:lang w:val="en-GB"/>
        </w:rPr>
        <w:t xml:space="preserve"> </w:t>
      </w:r>
      <w:r w:rsidRPr="005118FE">
        <w:rPr>
          <w:rFonts w:ascii="Arial" w:hAnsi="Arial" w:cs="Arial"/>
          <w:spacing w:val="-3"/>
          <w:sz w:val="20"/>
          <w:szCs w:val="20"/>
          <w:lang w:val="en-GB"/>
        </w:rPr>
        <w:t>period of the previous year.</w:t>
      </w:r>
      <w:r w:rsidR="00BF17D9" w:rsidRPr="005118FE">
        <w:rPr>
          <w:rFonts w:ascii="Arial" w:hAnsi="Arial" w:cs="Arial"/>
          <w:spacing w:val="-3"/>
          <w:sz w:val="20"/>
          <w:szCs w:val="20"/>
          <w:lang w:val="en-GB"/>
        </w:rPr>
        <w:t xml:space="preserve"> </w:t>
      </w:r>
    </w:p>
    <w:p w14:paraId="3BCA99D8" w14:textId="77777777" w:rsidR="00BF17D9" w:rsidRPr="005118FE" w:rsidRDefault="00BF17D9" w:rsidP="00BF17D9">
      <w:pPr>
        <w:tabs>
          <w:tab w:val="left" w:pos="-720"/>
        </w:tabs>
        <w:suppressAutoHyphens/>
        <w:spacing w:after="0" w:line="240" w:lineRule="auto"/>
        <w:jc w:val="both"/>
        <w:rPr>
          <w:rFonts w:ascii="Arial" w:hAnsi="Arial" w:cs="Arial"/>
          <w:spacing w:val="-3"/>
          <w:sz w:val="20"/>
          <w:szCs w:val="20"/>
          <w:lang w:val="en-GB"/>
        </w:rPr>
      </w:pPr>
    </w:p>
    <w:p w14:paraId="252D62F8" w14:textId="1928E9FD" w:rsidR="00120C3D" w:rsidRDefault="00903DCC" w:rsidP="00120C3D">
      <w:pPr>
        <w:spacing w:after="0" w:line="240" w:lineRule="auto"/>
        <w:jc w:val="both"/>
        <w:rPr>
          <w:rFonts w:ascii="Arial" w:hAnsi="Arial" w:cs="Arial"/>
          <w:spacing w:val="-3"/>
          <w:sz w:val="20"/>
          <w:szCs w:val="20"/>
          <w:lang w:val="en-GB"/>
        </w:rPr>
      </w:pPr>
      <w:r w:rsidRPr="00903DCC">
        <w:rPr>
          <w:rFonts w:ascii="Arial" w:hAnsi="Arial" w:cs="Arial"/>
          <w:sz w:val="20"/>
          <w:szCs w:val="20"/>
          <w:lang w:val="en-GB"/>
        </w:rPr>
        <w:t>Interest income stood at EUR 5</w:t>
      </w:r>
      <w:r w:rsidR="006866F8">
        <w:rPr>
          <w:rFonts w:ascii="Arial" w:hAnsi="Arial" w:cs="Arial"/>
          <w:sz w:val="20"/>
          <w:szCs w:val="20"/>
          <w:lang w:val="en-GB"/>
        </w:rPr>
        <w:t>8</w:t>
      </w:r>
      <w:r w:rsidRPr="00903DCC">
        <w:rPr>
          <w:rFonts w:ascii="Arial" w:hAnsi="Arial" w:cs="Arial"/>
          <w:sz w:val="20"/>
          <w:szCs w:val="20"/>
          <w:lang w:val="en-GB"/>
        </w:rPr>
        <w:t>.</w:t>
      </w:r>
      <w:r w:rsidR="006866F8">
        <w:rPr>
          <w:rFonts w:ascii="Arial" w:hAnsi="Arial" w:cs="Arial"/>
          <w:sz w:val="20"/>
          <w:szCs w:val="20"/>
          <w:lang w:val="en-GB"/>
        </w:rPr>
        <w:t>0</w:t>
      </w:r>
      <w:r w:rsidRPr="00903DCC">
        <w:rPr>
          <w:rFonts w:ascii="Arial" w:hAnsi="Arial" w:cs="Arial"/>
          <w:sz w:val="20"/>
          <w:szCs w:val="20"/>
          <w:lang w:val="en-GB"/>
        </w:rPr>
        <w:t xml:space="preserve"> million, an increase of </w:t>
      </w:r>
      <w:r w:rsidR="006866F8">
        <w:rPr>
          <w:rFonts w:ascii="Arial" w:hAnsi="Arial" w:cs="Arial"/>
          <w:sz w:val="20"/>
          <w:szCs w:val="20"/>
          <w:lang w:val="en-GB"/>
        </w:rPr>
        <w:t>3</w:t>
      </w:r>
      <w:r w:rsidRPr="00903DCC">
        <w:rPr>
          <w:rFonts w:ascii="Arial" w:hAnsi="Arial" w:cs="Arial"/>
          <w:sz w:val="20"/>
          <w:szCs w:val="20"/>
          <w:lang w:val="en-GB"/>
        </w:rPr>
        <w:t>.</w:t>
      </w:r>
      <w:r w:rsidR="006866F8">
        <w:rPr>
          <w:rFonts w:ascii="Arial" w:hAnsi="Arial" w:cs="Arial"/>
          <w:sz w:val="20"/>
          <w:szCs w:val="20"/>
          <w:lang w:val="en-GB"/>
        </w:rPr>
        <w:t>8</w:t>
      </w:r>
      <w:r w:rsidRPr="00903DCC">
        <w:rPr>
          <w:rFonts w:ascii="Arial" w:hAnsi="Arial" w:cs="Arial"/>
          <w:sz w:val="20"/>
          <w:szCs w:val="20"/>
          <w:lang w:val="en-GB"/>
        </w:rPr>
        <w:t xml:space="preserve"> percent compared with the same reporting period previous year</w:t>
      </w:r>
      <w:r w:rsidR="00022EF3">
        <w:rPr>
          <w:rFonts w:ascii="Arial" w:hAnsi="Arial" w:cs="Arial"/>
          <w:sz w:val="20"/>
          <w:szCs w:val="20"/>
          <w:lang w:val="en-GB"/>
        </w:rPr>
        <w:t>.</w:t>
      </w:r>
      <w:r w:rsidR="00120C3D" w:rsidRPr="00120C3D">
        <w:rPr>
          <w:rFonts w:ascii="Arial" w:hAnsi="Arial" w:cs="Arial"/>
          <w:spacing w:val="-3"/>
          <w:sz w:val="20"/>
          <w:szCs w:val="20"/>
          <w:lang w:val="en-GB"/>
        </w:rPr>
        <w:t xml:space="preserve"> </w:t>
      </w:r>
      <w:r w:rsidR="00120C3D" w:rsidRPr="00044036">
        <w:rPr>
          <w:rFonts w:ascii="Arial" w:hAnsi="Arial" w:cs="Arial"/>
          <w:spacing w:val="-3"/>
          <w:sz w:val="20"/>
          <w:szCs w:val="20"/>
          <w:lang w:val="en-GB"/>
        </w:rPr>
        <w:t>The increase in interest income is largely the result of the increase in the effective interest rate</w:t>
      </w:r>
      <w:r w:rsidR="00120C3D">
        <w:rPr>
          <w:rFonts w:ascii="Arial" w:hAnsi="Arial" w:cs="Arial"/>
          <w:spacing w:val="-3"/>
          <w:sz w:val="20"/>
          <w:szCs w:val="20"/>
          <w:lang w:val="en-GB"/>
        </w:rPr>
        <w:t>.</w:t>
      </w:r>
    </w:p>
    <w:p w14:paraId="593A861B" w14:textId="77777777" w:rsidR="00120C3D" w:rsidRDefault="00120C3D" w:rsidP="00120C3D">
      <w:pPr>
        <w:spacing w:after="0" w:line="240" w:lineRule="auto"/>
        <w:jc w:val="both"/>
        <w:rPr>
          <w:rFonts w:ascii="Arial" w:hAnsi="Arial" w:cs="Arial"/>
          <w:spacing w:val="-3"/>
          <w:sz w:val="20"/>
          <w:szCs w:val="20"/>
          <w:lang w:val="en-GB"/>
        </w:rPr>
      </w:pPr>
    </w:p>
    <w:p w14:paraId="547C5FDF" w14:textId="77777777" w:rsidR="00022EF3" w:rsidRDefault="00022EF3" w:rsidP="00022EF3">
      <w:pPr>
        <w:tabs>
          <w:tab w:val="left" w:pos="-720"/>
        </w:tabs>
        <w:suppressAutoHyphens/>
        <w:autoSpaceDN w:val="0"/>
        <w:spacing w:after="0" w:line="240" w:lineRule="auto"/>
        <w:jc w:val="both"/>
        <w:textAlignment w:val="baseline"/>
        <w:rPr>
          <w:rFonts w:ascii="Arial" w:hAnsi="Arial" w:cs="Arial"/>
          <w:sz w:val="20"/>
          <w:szCs w:val="20"/>
        </w:rPr>
      </w:pPr>
      <w:r w:rsidRPr="000760DE">
        <w:rPr>
          <w:rFonts w:ascii="Arial" w:hAnsi="Arial" w:cs="Arial"/>
          <w:sz w:val="20"/>
          <w:szCs w:val="20"/>
        </w:rPr>
        <w:t>In addition, interest income rose by EUR 0.</w:t>
      </w:r>
      <w:r>
        <w:rPr>
          <w:rFonts w:ascii="Arial" w:hAnsi="Arial" w:cs="Arial"/>
          <w:sz w:val="20"/>
          <w:szCs w:val="20"/>
        </w:rPr>
        <w:t>3</w:t>
      </w:r>
      <w:r w:rsidRPr="000760DE">
        <w:rPr>
          <w:rFonts w:ascii="Arial" w:hAnsi="Arial" w:cs="Arial"/>
          <w:sz w:val="20"/>
          <w:szCs w:val="20"/>
        </w:rPr>
        <w:t xml:space="preserve"> million owing to the income resulting from the cancellation of the subsidy deferral at the expense of HBOR's operations. </w:t>
      </w:r>
    </w:p>
    <w:p w14:paraId="4276D5CA" w14:textId="77777777" w:rsidR="00022EF3" w:rsidRDefault="00022EF3" w:rsidP="00022EF3">
      <w:pPr>
        <w:tabs>
          <w:tab w:val="left" w:pos="-720"/>
        </w:tabs>
        <w:suppressAutoHyphens/>
        <w:autoSpaceDN w:val="0"/>
        <w:spacing w:after="0" w:line="240" w:lineRule="auto"/>
        <w:jc w:val="both"/>
        <w:textAlignment w:val="baseline"/>
        <w:rPr>
          <w:rFonts w:ascii="Arial" w:hAnsi="Arial" w:cs="Arial"/>
          <w:sz w:val="20"/>
          <w:szCs w:val="20"/>
        </w:rPr>
      </w:pPr>
    </w:p>
    <w:p w14:paraId="6112BA5B" w14:textId="6238BCF6" w:rsidR="00B30520" w:rsidRPr="00B30520" w:rsidRDefault="0038011D" w:rsidP="00B30520">
      <w:pPr>
        <w:tabs>
          <w:tab w:val="left" w:pos="-720"/>
        </w:tabs>
        <w:suppressAutoHyphens/>
        <w:autoSpaceDN w:val="0"/>
        <w:spacing w:after="0" w:line="240" w:lineRule="auto"/>
        <w:jc w:val="both"/>
        <w:textAlignment w:val="baseline"/>
        <w:rPr>
          <w:rFonts w:ascii="Calibri" w:hAnsi="Calibri" w:cs="Calibri"/>
        </w:rPr>
      </w:pPr>
      <w:bookmarkStart w:id="1" w:name="_Hlk47973129"/>
      <w:r w:rsidRPr="005118FE">
        <w:rPr>
          <w:rFonts w:ascii="Arial" w:hAnsi="Arial" w:cs="Arial"/>
          <w:spacing w:val="-3"/>
          <w:sz w:val="20"/>
          <w:szCs w:val="20"/>
          <w:lang w:val="en-GB"/>
        </w:rPr>
        <w:t xml:space="preserve">Interest expenses amounted to </w:t>
      </w:r>
      <w:r w:rsidR="00830D3F">
        <w:rPr>
          <w:rFonts w:ascii="Arial" w:hAnsi="Arial" w:cs="Arial"/>
          <w:spacing w:val="-3"/>
          <w:sz w:val="20"/>
          <w:szCs w:val="20"/>
          <w:lang w:val="en-GB"/>
        </w:rPr>
        <w:t xml:space="preserve">EUR </w:t>
      </w:r>
      <w:r w:rsidR="005E2222">
        <w:rPr>
          <w:rFonts w:ascii="Arial" w:hAnsi="Arial" w:cs="Arial"/>
          <w:spacing w:val="-3"/>
          <w:sz w:val="20"/>
          <w:szCs w:val="20"/>
          <w:lang w:val="en-GB"/>
        </w:rPr>
        <w:t>2</w:t>
      </w:r>
      <w:r w:rsidR="00F0018C">
        <w:rPr>
          <w:rFonts w:ascii="Arial" w:hAnsi="Arial" w:cs="Arial"/>
          <w:spacing w:val="-3"/>
          <w:sz w:val="20"/>
          <w:szCs w:val="20"/>
          <w:lang w:val="en-GB"/>
        </w:rPr>
        <w:t>4</w:t>
      </w:r>
      <w:r w:rsidR="005E2222">
        <w:rPr>
          <w:rFonts w:ascii="Arial" w:hAnsi="Arial" w:cs="Arial"/>
          <w:spacing w:val="-3"/>
          <w:sz w:val="20"/>
          <w:szCs w:val="20"/>
          <w:lang w:val="en-GB"/>
        </w:rPr>
        <w:t>.</w:t>
      </w:r>
      <w:r w:rsidR="00F0018C">
        <w:rPr>
          <w:rFonts w:ascii="Arial" w:hAnsi="Arial" w:cs="Arial"/>
          <w:spacing w:val="-3"/>
          <w:sz w:val="20"/>
          <w:szCs w:val="20"/>
          <w:lang w:val="en-GB"/>
        </w:rPr>
        <w:t>2</w:t>
      </w:r>
      <w:r w:rsidR="00BF17D9" w:rsidRPr="005118FE">
        <w:rPr>
          <w:rFonts w:ascii="Arial" w:hAnsi="Arial" w:cs="Arial"/>
          <w:spacing w:val="-3"/>
          <w:sz w:val="20"/>
          <w:szCs w:val="20"/>
          <w:lang w:val="en-GB"/>
        </w:rPr>
        <w:t xml:space="preserve"> mil</w:t>
      </w:r>
      <w:r w:rsidRPr="005118FE">
        <w:rPr>
          <w:rFonts w:ascii="Arial" w:hAnsi="Arial" w:cs="Arial"/>
          <w:spacing w:val="-3"/>
          <w:sz w:val="20"/>
          <w:szCs w:val="20"/>
          <w:lang w:val="en-GB"/>
        </w:rPr>
        <w:t>lion, a</w:t>
      </w:r>
      <w:r w:rsidR="001B2813" w:rsidRPr="005118FE">
        <w:rPr>
          <w:rFonts w:ascii="Arial" w:hAnsi="Arial" w:cs="Arial"/>
          <w:spacing w:val="-3"/>
          <w:sz w:val="20"/>
          <w:szCs w:val="20"/>
          <w:lang w:val="en-GB"/>
        </w:rPr>
        <w:t>n</w:t>
      </w:r>
      <w:r w:rsidRPr="005118FE">
        <w:rPr>
          <w:rFonts w:ascii="Arial" w:hAnsi="Arial" w:cs="Arial"/>
          <w:spacing w:val="-3"/>
          <w:sz w:val="20"/>
          <w:szCs w:val="20"/>
          <w:lang w:val="en-GB"/>
        </w:rPr>
        <w:t xml:space="preserve"> </w:t>
      </w:r>
      <w:r w:rsidR="005A7710">
        <w:rPr>
          <w:rFonts w:ascii="Arial" w:hAnsi="Arial" w:cs="Arial"/>
          <w:spacing w:val="-3"/>
          <w:sz w:val="20"/>
          <w:szCs w:val="20"/>
          <w:lang w:val="en-GB"/>
        </w:rPr>
        <w:t>in</w:t>
      </w:r>
      <w:r w:rsidRPr="005118FE">
        <w:rPr>
          <w:rFonts w:ascii="Arial" w:hAnsi="Arial" w:cs="Arial"/>
          <w:spacing w:val="-3"/>
          <w:sz w:val="20"/>
          <w:szCs w:val="20"/>
          <w:lang w:val="en-GB"/>
        </w:rPr>
        <w:t xml:space="preserve">crease of </w:t>
      </w:r>
      <w:r w:rsidR="00F0018C">
        <w:rPr>
          <w:rFonts w:ascii="Arial" w:hAnsi="Arial" w:cs="Arial"/>
          <w:spacing w:val="-3"/>
          <w:sz w:val="20"/>
          <w:szCs w:val="20"/>
          <w:lang w:val="en-GB"/>
        </w:rPr>
        <w:t>9</w:t>
      </w:r>
      <w:r w:rsidR="005E2222">
        <w:rPr>
          <w:rFonts w:ascii="Arial" w:hAnsi="Arial" w:cs="Arial"/>
          <w:spacing w:val="-3"/>
          <w:sz w:val="20"/>
          <w:szCs w:val="20"/>
          <w:lang w:val="en-GB"/>
        </w:rPr>
        <w:t>.</w:t>
      </w:r>
      <w:r w:rsidR="00F0018C">
        <w:rPr>
          <w:rFonts w:ascii="Arial" w:hAnsi="Arial" w:cs="Arial"/>
          <w:spacing w:val="-3"/>
          <w:sz w:val="20"/>
          <w:szCs w:val="20"/>
          <w:lang w:val="en-GB"/>
        </w:rPr>
        <w:t>5</w:t>
      </w:r>
      <w:r w:rsidR="001312B5" w:rsidRPr="005118FE">
        <w:rPr>
          <w:rFonts w:ascii="Arial" w:hAnsi="Arial" w:cs="Arial"/>
          <w:spacing w:val="-3"/>
          <w:sz w:val="20"/>
          <w:szCs w:val="20"/>
          <w:lang w:val="en-GB"/>
        </w:rPr>
        <w:t xml:space="preserve"> </w:t>
      </w:r>
      <w:r w:rsidR="00F937F0" w:rsidRPr="005118FE">
        <w:rPr>
          <w:rFonts w:ascii="Arial" w:hAnsi="Arial" w:cs="Arial"/>
          <w:spacing w:val="-3"/>
          <w:sz w:val="20"/>
          <w:szCs w:val="20"/>
          <w:lang w:val="en-GB"/>
        </w:rPr>
        <w:t>p</w:t>
      </w:r>
      <w:r w:rsidRPr="005118FE">
        <w:rPr>
          <w:rFonts w:ascii="Arial" w:hAnsi="Arial" w:cs="Arial"/>
          <w:spacing w:val="-3"/>
          <w:sz w:val="20"/>
          <w:szCs w:val="20"/>
          <w:lang w:val="en-GB"/>
        </w:rPr>
        <w:t>ercent</w:t>
      </w:r>
      <w:r w:rsidR="00F937F0" w:rsidRPr="005118FE">
        <w:rPr>
          <w:rFonts w:ascii="Arial" w:hAnsi="Arial" w:cs="Arial"/>
          <w:spacing w:val="-3"/>
          <w:sz w:val="20"/>
          <w:szCs w:val="20"/>
          <w:lang w:val="en-GB"/>
        </w:rPr>
        <w:t xml:space="preserve"> </w:t>
      </w:r>
      <w:r w:rsidRPr="005118FE">
        <w:rPr>
          <w:rFonts w:ascii="Arial" w:hAnsi="Arial" w:cs="Arial"/>
          <w:spacing w:val="-3"/>
          <w:sz w:val="20"/>
          <w:szCs w:val="20"/>
          <w:lang w:val="en-GB"/>
        </w:rPr>
        <w:t>on the same reporting period last year</w:t>
      </w:r>
      <w:r w:rsidR="006827A2" w:rsidRPr="00B30520">
        <w:rPr>
          <w:rFonts w:ascii="Arial" w:hAnsi="Arial" w:cs="Arial"/>
          <w:spacing w:val="-3"/>
          <w:sz w:val="20"/>
          <w:szCs w:val="20"/>
          <w:lang w:val="en-GB"/>
        </w:rPr>
        <w:t>,</w:t>
      </w:r>
      <w:r w:rsidR="00FC03EB" w:rsidRPr="00B30520">
        <w:rPr>
          <w:rFonts w:ascii="Arial" w:hAnsi="Arial" w:cs="Arial"/>
          <w:spacing w:val="-3"/>
          <w:sz w:val="20"/>
          <w:szCs w:val="20"/>
          <w:lang w:val="en-GB"/>
        </w:rPr>
        <w:t xml:space="preserve"> </w:t>
      </w:r>
      <w:r w:rsidR="00436A1F" w:rsidRPr="0064752B">
        <w:rPr>
          <w:rFonts w:ascii="Arial" w:hAnsi="Arial" w:cs="Arial"/>
          <w:sz w:val="20"/>
          <w:szCs w:val="20"/>
          <w:lang w:val="en-GB" w:eastAsia="en-GB"/>
        </w:rPr>
        <w:t>which is mostly due to an increase in interest rates on borrowings</w:t>
      </w:r>
      <w:r w:rsidR="00436A1F" w:rsidRPr="0064752B">
        <w:rPr>
          <w:rFonts w:ascii="Arial" w:eastAsia="Calibri" w:hAnsi="Arial" w:cs="Arial"/>
          <w:spacing w:val="-3"/>
          <w:sz w:val="20"/>
          <w:szCs w:val="20"/>
          <w:lang w:val="en-GB"/>
        </w:rPr>
        <w:t>.</w:t>
      </w:r>
      <w:r w:rsidR="00B30520" w:rsidRPr="00B30520">
        <w:rPr>
          <w:rFonts w:ascii="Arial" w:hAnsi="Arial" w:cs="Arial"/>
          <w:spacing w:val="-3"/>
          <w:sz w:val="20"/>
          <w:szCs w:val="20"/>
          <w:lang w:val="en-GB"/>
        </w:rPr>
        <w:t xml:space="preserve"> </w:t>
      </w:r>
      <w:bookmarkEnd w:id="1"/>
    </w:p>
    <w:p w14:paraId="23127EBB" w14:textId="77777777" w:rsidR="00853613" w:rsidRPr="00B30520" w:rsidRDefault="00853613" w:rsidP="00151AB4">
      <w:pPr>
        <w:tabs>
          <w:tab w:val="left" w:pos="-720"/>
        </w:tabs>
        <w:suppressAutoHyphens/>
        <w:spacing w:after="0" w:line="240" w:lineRule="auto"/>
        <w:jc w:val="both"/>
        <w:rPr>
          <w:rFonts w:ascii="Arial" w:hAnsi="Arial" w:cs="Arial"/>
          <w:spacing w:val="-3"/>
          <w:sz w:val="20"/>
          <w:szCs w:val="20"/>
          <w:lang w:val="en-GB"/>
        </w:rPr>
      </w:pPr>
    </w:p>
    <w:p w14:paraId="188F4B50" w14:textId="56BAE8D0" w:rsidR="00903DCC" w:rsidRPr="00903DCC" w:rsidRDefault="00903DCC" w:rsidP="00903DCC">
      <w:pPr>
        <w:spacing w:after="0" w:line="240" w:lineRule="auto"/>
        <w:jc w:val="both"/>
        <w:rPr>
          <w:rFonts w:ascii="Arial" w:hAnsi="Arial" w:cs="Arial"/>
          <w:sz w:val="20"/>
          <w:szCs w:val="20"/>
          <w:lang w:val="en-GB"/>
        </w:rPr>
      </w:pPr>
      <w:r w:rsidRPr="00674D1A">
        <w:rPr>
          <w:rFonts w:ascii="Arial" w:hAnsi="Arial" w:cs="Arial"/>
          <w:sz w:val="20"/>
          <w:szCs w:val="20"/>
          <w:lang w:val="en-GB"/>
        </w:rPr>
        <w:t xml:space="preserve">Considering the described trends, the higher increase in interest income in the absolute amount of EUR </w:t>
      </w:r>
      <w:r w:rsidR="00674D1A" w:rsidRPr="00674D1A">
        <w:rPr>
          <w:rFonts w:ascii="Arial" w:hAnsi="Arial" w:cs="Arial"/>
          <w:sz w:val="20"/>
          <w:szCs w:val="20"/>
          <w:lang w:val="en-GB"/>
        </w:rPr>
        <w:t>2.4</w:t>
      </w:r>
      <w:r w:rsidRPr="00674D1A">
        <w:rPr>
          <w:rFonts w:ascii="Arial" w:hAnsi="Arial" w:cs="Arial"/>
          <w:sz w:val="20"/>
          <w:szCs w:val="20"/>
          <w:lang w:val="en-GB"/>
        </w:rPr>
        <w:t xml:space="preserve"> million compared with interest expenses of EUR </w:t>
      </w:r>
      <w:r w:rsidR="00674D1A" w:rsidRPr="00674D1A">
        <w:rPr>
          <w:rFonts w:ascii="Arial" w:hAnsi="Arial" w:cs="Arial"/>
          <w:sz w:val="20"/>
          <w:szCs w:val="20"/>
          <w:lang w:val="en-GB"/>
        </w:rPr>
        <w:t>2.1</w:t>
      </w:r>
      <w:r w:rsidRPr="00674D1A">
        <w:rPr>
          <w:rFonts w:ascii="Arial" w:hAnsi="Arial" w:cs="Arial"/>
          <w:sz w:val="20"/>
          <w:szCs w:val="20"/>
          <w:lang w:val="en-GB"/>
        </w:rPr>
        <w:t xml:space="preserve"> million influenced the increase in the net interest margin in comparison with the same reporting period previous year, which stood at 1.7</w:t>
      </w:r>
      <w:r w:rsidR="00674D1A" w:rsidRPr="00674D1A">
        <w:rPr>
          <w:rFonts w:ascii="Arial" w:hAnsi="Arial" w:cs="Arial"/>
          <w:sz w:val="20"/>
          <w:szCs w:val="20"/>
          <w:lang w:val="en-GB"/>
        </w:rPr>
        <w:t>0</w:t>
      </w:r>
      <w:r w:rsidRPr="00674D1A">
        <w:rPr>
          <w:rFonts w:ascii="Arial" w:hAnsi="Arial" w:cs="Arial"/>
          <w:sz w:val="20"/>
          <w:szCs w:val="20"/>
          <w:lang w:val="en-GB"/>
        </w:rPr>
        <w:t xml:space="preserve"> percent, whereas it had amounted to 1.6</w:t>
      </w:r>
      <w:r w:rsidR="00674D1A" w:rsidRPr="00674D1A">
        <w:rPr>
          <w:rFonts w:ascii="Arial" w:hAnsi="Arial" w:cs="Arial"/>
          <w:sz w:val="20"/>
          <w:szCs w:val="20"/>
          <w:lang w:val="en-GB"/>
        </w:rPr>
        <w:t>8</w:t>
      </w:r>
      <w:r w:rsidRPr="00674D1A">
        <w:rPr>
          <w:rFonts w:ascii="Arial" w:hAnsi="Arial" w:cs="Arial"/>
          <w:sz w:val="20"/>
          <w:szCs w:val="20"/>
          <w:lang w:val="en-GB"/>
        </w:rPr>
        <w:t xml:space="preserve"> percent in the same period previous year.</w:t>
      </w:r>
    </w:p>
    <w:p w14:paraId="2B8A1649" w14:textId="77777777" w:rsidR="00B30520" w:rsidRPr="00B30520" w:rsidRDefault="00B30520" w:rsidP="00B30520">
      <w:pPr>
        <w:spacing w:after="0" w:line="240" w:lineRule="auto"/>
        <w:jc w:val="both"/>
        <w:rPr>
          <w:rFonts w:ascii="Arial" w:hAnsi="Arial" w:cs="Arial"/>
          <w:sz w:val="20"/>
          <w:szCs w:val="20"/>
          <w:lang w:val="en-GB"/>
        </w:rPr>
      </w:pPr>
    </w:p>
    <w:p w14:paraId="77228E1E" w14:textId="54091983" w:rsidR="001A621E" w:rsidRPr="005118FE" w:rsidRDefault="001A621E" w:rsidP="001A621E">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5118FE">
        <w:rPr>
          <w:rFonts w:ascii="Arial" w:eastAsia="Times New Roman" w:hAnsi="Arial" w:cs="Arial"/>
          <w:b/>
          <w:i/>
          <w:spacing w:val="-3"/>
          <w:sz w:val="20"/>
          <w:szCs w:val="20"/>
          <w:lang w:val="en-GB" w:eastAsia="hr-HR"/>
        </w:rPr>
        <w:t xml:space="preserve">Net fee income </w:t>
      </w:r>
      <w:r w:rsidR="0014550E" w:rsidRPr="005118FE">
        <w:rPr>
          <w:rFonts w:ascii="Arial" w:eastAsia="Times New Roman" w:hAnsi="Arial" w:cs="Arial"/>
          <w:b/>
          <w:i/>
          <w:spacing w:val="-3"/>
          <w:sz w:val="20"/>
          <w:szCs w:val="20"/>
          <w:lang w:val="en-GB" w:eastAsia="hr-HR"/>
        </w:rPr>
        <w:t>and commission income</w:t>
      </w:r>
    </w:p>
    <w:p w14:paraId="03B3164E" w14:textId="77777777" w:rsidR="00BF17D9" w:rsidRPr="005118FE"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0A3F5CC8" w14:textId="49B39DD4" w:rsidR="00BF16A2" w:rsidRPr="005118FE" w:rsidRDefault="001A621E" w:rsidP="00BF16A2">
      <w:pPr>
        <w:tabs>
          <w:tab w:val="left" w:pos="-720"/>
        </w:tabs>
        <w:suppressAutoHyphens/>
        <w:spacing w:after="0" w:line="240" w:lineRule="auto"/>
        <w:jc w:val="both"/>
        <w:rPr>
          <w:rFonts w:ascii="Arial" w:eastAsia="Times New Roman" w:hAnsi="Arial" w:cs="Arial"/>
          <w:spacing w:val="-3"/>
          <w:sz w:val="20"/>
          <w:szCs w:val="20"/>
          <w:lang w:val="en-GB" w:eastAsia="hr-HR"/>
        </w:rPr>
      </w:pPr>
      <w:r w:rsidRPr="0018076C">
        <w:rPr>
          <w:rFonts w:ascii="Arial" w:hAnsi="Arial" w:cs="Arial"/>
          <w:spacing w:val="-3"/>
          <w:sz w:val="20"/>
          <w:szCs w:val="20"/>
          <w:lang w:val="en-GB"/>
        </w:rPr>
        <w:t>Net fee</w:t>
      </w:r>
      <w:r w:rsidR="0014550E" w:rsidRPr="0018076C">
        <w:rPr>
          <w:rFonts w:ascii="Arial" w:hAnsi="Arial" w:cs="Arial"/>
          <w:spacing w:val="-3"/>
          <w:sz w:val="20"/>
          <w:szCs w:val="20"/>
          <w:lang w:val="en-GB"/>
        </w:rPr>
        <w:t xml:space="preserve"> and commission</w:t>
      </w:r>
      <w:r w:rsidRPr="0018076C">
        <w:rPr>
          <w:rFonts w:ascii="Arial" w:hAnsi="Arial" w:cs="Arial"/>
          <w:spacing w:val="-3"/>
          <w:sz w:val="20"/>
          <w:szCs w:val="20"/>
          <w:lang w:val="en-GB"/>
        </w:rPr>
        <w:t xml:space="preserve"> income amounted to </w:t>
      </w:r>
      <w:r w:rsidR="00665CBB" w:rsidRPr="0018076C">
        <w:rPr>
          <w:rFonts w:ascii="Arial" w:hAnsi="Arial" w:cs="Arial"/>
          <w:spacing w:val="-3"/>
          <w:sz w:val="20"/>
          <w:szCs w:val="20"/>
          <w:lang w:val="en-GB"/>
        </w:rPr>
        <w:t xml:space="preserve">EUR </w:t>
      </w:r>
      <w:r w:rsidR="005E2222">
        <w:rPr>
          <w:rFonts w:ascii="Arial" w:hAnsi="Arial" w:cs="Arial"/>
          <w:spacing w:val="-3"/>
          <w:sz w:val="20"/>
          <w:szCs w:val="20"/>
          <w:lang w:val="en-GB"/>
        </w:rPr>
        <w:t>0.</w:t>
      </w:r>
      <w:r w:rsidR="001B2559">
        <w:rPr>
          <w:rFonts w:ascii="Arial" w:hAnsi="Arial" w:cs="Arial"/>
          <w:spacing w:val="-3"/>
          <w:sz w:val="20"/>
          <w:szCs w:val="20"/>
          <w:lang w:val="en-GB"/>
        </w:rPr>
        <w:t>8</w:t>
      </w:r>
      <w:r w:rsidR="00BF17D9" w:rsidRPr="0018076C">
        <w:rPr>
          <w:rFonts w:ascii="Arial" w:hAnsi="Arial" w:cs="Arial"/>
          <w:spacing w:val="-3"/>
          <w:sz w:val="20"/>
          <w:szCs w:val="20"/>
          <w:lang w:val="en-GB"/>
        </w:rPr>
        <w:t xml:space="preserve"> mil</w:t>
      </w:r>
      <w:r w:rsidRPr="0018076C">
        <w:rPr>
          <w:rFonts w:ascii="Arial" w:hAnsi="Arial" w:cs="Arial"/>
          <w:spacing w:val="-3"/>
          <w:sz w:val="20"/>
          <w:szCs w:val="20"/>
          <w:lang w:val="en-GB"/>
        </w:rPr>
        <w:t>lion, a</w:t>
      </w:r>
      <w:r w:rsidR="001B2559">
        <w:rPr>
          <w:rFonts w:ascii="Arial" w:hAnsi="Arial" w:cs="Arial"/>
          <w:spacing w:val="-3"/>
          <w:sz w:val="20"/>
          <w:szCs w:val="20"/>
          <w:lang w:val="en-GB"/>
        </w:rPr>
        <w:t>n</w:t>
      </w:r>
      <w:r w:rsidRPr="0018076C">
        <w:rPr>
          <w:rFonts w:ascii="Arial" w:hAnsi="Arial" w:cs="Arial"/>
          <w:spacing w:val="-3"/>
          <w:sz w:val="20"/>
          <w:szCs w:val="20"/>
          <w:lang w:val="en-GB"/>
        </w:rPr>
        <w:t xml:space="preserve"> </w:t>
      </w:r>
      <w:r w:rsidR="001B2559">
        <w:rPr>
          <w:rFonts w:ascii="Arial" w:hAnsi="Arial" w:cs="Arial"/>
          <w:spacing w:val="-3"/>
          <w:sz w:val="20"/>
          <w:szCs w:val="20"/>
          <w:lang w:val="en-GB"/>
        </w:rPr>
        <w:t>in</w:t>
      </w:r>
      <w:r w:rsidRPr="0018076C">
        <w:rPr>
          <w:rFonts w:ascii="Arial" w:hAnsi="Arial" w:cs="Arial"/>
          <w:spacing w:val="-3"/>
          <w:sz w:val="20"/>
          <w:szCs w:val="20"/>
          <w:lang w:val="en-GB"/>
        </w:rPr>
        <w:t>crease of</w:t>
      </w:r>
      <w:r w:rsidR="00231A68" w:rsidRPr="0018076C">
        <w:rPr>
          <w:rFonts w:ascii="Arial" w:hAnsi="Arial" w:cs="Arial"/>
          <w:spacing w:val="-3"/>
          <w:sz w:val="20"/>
          <w:szCs w:val="20"/>
          <w:lang w:val="en-GB"/>
        </w:rPr>
        <w:t xml:space="preserve"> </w:t>
      </w:r>
      <w:r w:rsidR="006A1478">
        <w:rPr>
          <w:rFonts w:ascii="Arial" w:hAnsi="Arial" w:cs="Arial"/>
          <w:spacing w:val="-3"/>
          <w:sz w:val="20"/>
          <w:szCs w:val="20"/>
          <w:lang w:val="en-GB"/>
        </w:rPr>
        <w:t>14</w:t>
      </w:r>
      <w:r w:rsidR="005E2222">
        <w:rPr>
          <w:rFonts w:ascii="Arial" w:hAnsi="Arial" w:cs="Arial"/>
          <w:spacing w:val="-3"/>
          <w:sz w:val="20"/>
          <w:szCs w:val="20"/>
          <w:lang w:val="en-GB"/>
        </w:rPr>
        <w:t>.</w:t>
      </w:r>
      <w:r w:rsidR="006A1478">
        <w:rPr>
          <w:rFonts w:ascii="Arial" w:hAnsi="Arial" w:cs="Arial"/>
          <w:spacing w:val="-3"/>
          <w:sz w:val="20"/>
          <w:szCs w:val="20"/>
          <w:lang w:val="en-GB"/>
        </w:rPr>
        <w:t>3</w:t>
      </w:r>
      <w:r w:rsidR="00A5245E" w:rsidRPr="0018076C">
        <w:rPr>
          <w:rFonts w:ascii="Arial" w:hAnsi="Arial" w:cs="Arial"/>
          <w:spacing w:val="-3"/>
          <w:sz w:val="20"/>
          <w:szCs w:val="20"/>
          <w:lang w:val="en-GB"/>
        </w:rPr>
        <w:t xml:space="preserve"> </w:t>
      </w:r>
      <w:r w:rsidR="00685E73" w:rsidRPr="0018076C">
        <w:rPr>
          <w:rFonts w:ascii="Arial" w:hAnsi="Arial" w:cs="Arial"/>
          <w:spacing w:val="-3"/>
          <w:sz w:val="20"/>
          <w:szCs w:val="20"/>
          <w:lang w:val="en-GB"/>
        </w:rPr>
        <w:t>p</w:t>
      </w:r>
      <w:r w:rsidRPr="0018076C">
        <w:rPr>
          <w:rFonts w:ascii="Arial" w:hAnsi="Arial" w:cs="Arial"/>
          <w:spacing w:val="-3"/>
          <w:sz w:val="20"/>
          <w:szCs w:val="20"/>
          <w:lang w:val="en-GB"/>
        </w:rPr>
        <w:t xml:space="preserve">ercent compared with the same reporting period last year </w:t>
      </w:r>
      <w:r w:rsidR="00BF16A2" w:rsidRPr="0018076C">
        <w:rPr>
          <w:rFonts w:ascii="Arial" w:hAnsi="Arial" w:cs="Arial"/>
          <w:spacing w:val="-3"/>
          <w:sz w:val="20"/>
          <w:szCs w:val="20"/>
          <w:lang w:val="en-GB"/>
        </w:rPr>
        <w:t>due to a</w:t>
      </w:r>
      <w:r w:rsidR="0039551A">
        <w:rPr>
          <w:rFonts w:ascii="Arial" w:hAnsi="Arial" w:cs="Arial"/>
          <w:spacing w:val="-3"/>
          <w:sz w:val="20"/>
          <w:szCs w:val="20"/>
          <w:lang w:val="en-GB"/>
        </w:rPr>
        <w:t>n in</w:t>
      </w:r>
      <w:r w:rsidR="00231A68" w:rsidRPr="0018076C">
        <w:rPr>
          <w:rFonts w:ascii="Arial" w:hAnsi="Arial" w:cs="Arial"/>
          <w:spacing w:val="-3"/>
          <w:sz w:val="20"/>
          <w:szCs w:val="20"/>
          <w:lang w:val="en-GB"/>
        </w:rPr>
        <w:t>crease</w:t>
      </w:r>
      <w:r w:rsidR="00BF16A2" w:rsidRPr="0018076C">
        <w:rPr>
          <w:rFonts w:ascii="Arial" w:hAnsi="Arial" w:cs="Arial"/>
          <w:spacing w:val="-3"/>
          <w:sz w:val="20"/>
          <w:szCs w:val="20"/>
          <w:lang w:val="en-GB"/>
        </w:rPr>
        <w:t xml:space="preserve"> in </w:t>
      </w:r>
      <w:r w:rsidR="00D93E3D" w:rsidRPr="0018076C">
        <w:rPr>
          <w:rFonts w:ascii="Arial" w:hAnsi="Arial" w:cs="Arial"/>
          <w:spacing w:val="-3"/>
          <w:sz w:val="20"/>
          <w:szCs w:val="20"/>
          <w:lang w:val="en-GB"/>
        </w:rPr>
        <w:t xml:space="preserve">income from </w:t>
      </w:r>
      <w:r w:rsidR="005E2222" w:rsidRPr="00111D17">
        <w:rPr>
          <w:rFonts w:ascii="Arial" w:hAnsi="Arial" w:cs="Arial"/>
          <w:spacing w:val="-3"/>
          <w:sz w:val="20"/>
          <w:szCs w:val="20"/>
          <w:lang w:val="en-GB"/>
        </w:rPr>
        <w:t>fees for issued guarantees</w:t>
      </w:r>
      <w:r w:rsidR="00BF16A2" w:rsidRPr="0018076C">
        <w:rPr>
          <w:rFonts w:ascii="Arial" w:hAnsi="Arial" w:cs="Arial"/>
          <w:spacing w:val="-3"/>
          <w:sz w:val="20"/>
          <w:szCs w:val="20"/>
          <w:lang w:val="en-GB"/>
        </w:rPr>
        <w:t>.</w:t>
      </w:r>
    </w:p>
    <w:p w14:paraId="3BD710B7" w14:textId="77777777" w:rsidR="00BF16A2" w:rsidRPr="005118FE" w:rsidRDefault="00BF16A2" w:rsidP="00BF16A2">
      <w:pPr>
        <w:tabs>
          <w:tab w:val="left" w:pos="-720"/>
        </w:tabs>
        <w:suppressAutoHyphens/>
        <w:spacing w:after="0" w:line="240" w:lineRule="auto"/>
        <w:jc w:val="both"/>
        <w:rPr>
          <w:rFonts w:ascii="Arial" w:eastAsia="Times New Roman" w:hAnsi="Arial" w:cs="Arial"/>
          <w:spacing w:val="-3"/>
          <w:sz w:val="20"/>
          <w:szCs w:val="20"/>
          <w:lang w:val="en-GB" w:eastAsia="hr-HR"/>
        </w:rPr>
      </w:pPr>
    </w:p>
    <w:p w14:paraId="10A2623F" w14:textId="754D6491" w:rsidR="001A621E" w:rsidRPr="005118FE" w:rsidRDefault="001A621E" w:rsidP="001A621E">
      <w:pPr>
        <w:spacing w:after="0" w:line="240" w:lineRule="auto"/>
        <w:jc w:val="both"/>
        <w:rPr>
          <w:rFonts w:ascii="Arial" w:eastAsia="Times New Roman" w:hAnsi="Arial" w:cs="Arial"/>
          <w:b/>
          <w:i/>
          <w:sz w:val="20"/>
          <w:szCs w:val="20"/>
          <w:lang w:val="en-GB" w:eastAsia="hr-HR"/>
        </w:rPr>
      </w:pPr>
      <w:r w:rsidRPr="005118FE">
        <w:rPr>
          <w:rFonts w:ascii="Arial" w:eastAsia="Times New Roman" w:hAnsi="Arial" w:cs="Arial"/>
          <w:b/>
          <w:i/>
          <w:sz w:val="20"/>
          <w:szCs w:val="20"/>
          <w:lang w:val="en-GB" w:eastAsia="hr-HR"/>
        </w:rPr>
        <w:t xml:space="preserve">Net gains/(losses) </w:t>
      </w:r>
      <w:r w:rsidR="0014550E" w:rsidRPr="005118FE">
        <w:rPr>
          <w:rFonts w:ascii="Arial" w:eastAsia="Times New Roman" w:hAnsi="Arial" w:cs="Arial"/>
          <w:b/>
          <w:i/>
          <w:sz w:val="20"/>
          <w:szCs w:val="20"/>
          <w:lang w:val="en-GB" w:eastAsia="hr-HR"/>
        </w:rPr>
        <w:t xml:space="preserve">on </w:t>
      </w:r>
      <w:r w:rsidRPr="005118FE">
        <w:rPr>
          <w:rFonts w:ascii="Arial" w:eastAsia="Times New Roman" w:hAnsi="Arial" w:cs="Arial"/>
          <w:b/>
          <w:i/>
          <w:sz w:val="20"/>
          <w:szCs w:val="20"/>
          <w:lang w:val="en-GB" w:eastAsia="hr-HR"/>
        </w:rPr>
        <w:t xml:space="preserve">financial </w:t>
      </w:r>
      <w:r w:rsidR="0014550E" w:rsidRPr="005118FE">
        <w:rPr>
          <w:rFonts w:ascii="Arial" w:eastAsia="Times New Roman" w:hAnsi="Arial" w:cs="Arial"/>
          <w:b/>
          <w:i/>
          <w:sz w:val="20"/>
          <w:szCs w:val="20"/>
          <w:lang w:val="en-GB" w:eastAsia="hr-HR"/>
        </w:rPr>
        <w:t>operations</w:t>
      </w:r>
    </w:p>
    <w:p w14:paraId="409FC508" w14:textId="77777777" w:rsidR="00BF17D9" w:rsidRPr="005118FE" w:rsidRDefault="00BF17D9" w:rsidP="00BF17D9">
      <w:pPr>
        <w:spacing w:after="0" w:line="240" w:lineRule="auto"/>
        <w:jc w:val="both"/>
        <w:rPr>
          <w:rFonts w:ascii="Arial" w:eastAsia="Times New Roman" w:hAnsi="Arial" w:cs="Arial"/>
          <w:b/>
          <w:i/>
          <w:sz w:val="20"/>
          <w:szCs w:val="20"/>
          <w:lang w:val="en-GB" w:eastAsia="hr-HR"/>
        </w:rPr>
      </w:pPr>
    </w:p>
    <w:p w14:paraId="5C740A26" w14:textId="77777777" w:rsidR="00AF68B3" w:rsidRPr="008B287C" w:rsidRDefault="00AF68B3" w:rsidP="00AF68B3">
      <w:pPr>
        <w:tabs>
          <w:tab w:val="left" w:pos="-720"/>
        </w:tabs>
        <w:spacing w:after="0" w:line="240" w:lineRule="auto"/>
        <w:jc w:val="both"/>
        <w:rPr>
          <w:rFonts w:ascii="Arial" w:eastAsia="Times New Roman" w:hAnsi="Arial" w:cs="Arial"/>
          <w:spacing w:val="-3"/>
          <w:sz w:val="20"/>
          <w:szCs w:val="20"/>
          <w:lang w:val="en-GB" w:eastAsia="hr-HR"/>
        </w:rPr>
      </w:pPr>
      <w:r w:rsidRPr="008B287C">
        <w:rPr>
          <w:rFonts w:ascii="Arial" w:hAnsi="Arial" w:cs="Arial"/>
          <w:spacing w:val="-3"/>
          <w:sz w:val="20"/>
          <w:szCs w:val="20"/>
          <w:lang w:val="en-GB"/>
        </w:rPr>
        <w:t xml:space="preserve">Net gains/(losses) on financial operations are comprised of net foreign exchange gains/(losses) on the principal amount of receivables and liabilities, gains/(losses) arising out of value adjustment of </w:t>
      </w:r>
      <w:r w:rsidRPr="008B287C">
        <w:rPr>
          <w:rFonts w:ascii="Arial" w:eastAsia="Times New Roman" w:hAnsi="Arial" w:cs="Arial"/>
          <w:spacing w:val="-3"/>
          <w:sz w:val="20"/>
          <w:szCs w:val="20"/>
          <w:lang w:val="en-GB" w:eastAsia="hr-HR"/>
        </w:rPr>
        <w:t xml:space="preserve">financial assets </w:t>
      </w:r>
      <w:r w:rsidRPr="008B287C">
        <w:rPr>
          <w:rFonts w:ascii="Arial" w:hAnsi="Arial" w:cs="Arial"/>
          <w:spacing w:val="-3"/>
          <w:sz w:val="20"/>
          <w:szCs w:val="20"/>
          <w:lang w:val="en-GB"/>
        </w:rPr>
        <w:t xml:space="preserve">stated at fair value through profit or loss and realised gains/(losses) arising out of </w:t>
      </w:r>
      <w:r w:rsidRPr="008B287C">
        <w:rPr>
          <w:rFonts w:ascii="Arial" w:eastAsia="Times New Roman" w:hAnsi="Arial" w:cs="Arial"/>
          <w:spacing w:val="-3"/>
          <w:sz w:val="20"/>
          <w:szCs w:val="20"/>
          <w:lang w:val="en-GB" w:eastAsia="hr-HR"/>
        </w:rPr>
        <w:t xml:space="preserve">financial </w:t>
      </w:r>
      <w:r w:rsidRPr="008B287C">
        <w:rPr>
          <w:rFonts w:ascii="Arial" w:hAnsi="Arial" w:cs="Arial"/>
          <w:spacing w:val="-3"/>
          <w:sz w:val="20"/>
          <w:szCs w:val="20"/>
          <w:lang w:val="en-GB"/>
        </w:rPr>
        <w:t>assets</w:t>
      </w:r>
      <w:r w:rsidRPr="008B287C">
        <w:rPr>
          <w:rFonts w:ascii="Arial" w:eastAsia="Times New Roman" w:hAnsi="Arial" w:cs="Arial"/>
          <w:spacing w:val="-3"/>
          <w:sz w:val="20"/>
          <w:szCs w:val="20"/>
          <w:lang w:val="en-GB" w:eastAsia="hr-HR"/>
        </w:rPr>
        <w:t xml:space="preserve"> at fair value through other comprehensive income.</w:t>
      </w:r>
    </w:p>
    <w:p w14:paraId="6AB64252" w14:textId="77777777" w:rsidR="00AF68B3" w:rsidRPr="008B287C" w:rsidRDefault="00AF68B3" w:rsidP="00AF68B3">
      <w:pPr>
        <w:tabs>
          <w:tab w:val="left" w:pos="-720"/>
        </w:tabs>
        <w:spacing w:after="0" w:line="240" w:lineRule="auto"/>
        <w:jc w:val="both"/>
        <w:rPr>
          <w:rFonts w:ascii="Arial" w:eastAsia="Times New Roman" w:hAnsi="Arial" w:cs="Arial"/>
          <w:spacing w:val="-3"/>
          <w:sz w:val="20"/>
          <w:szCs w:val="20"/>
          <w:lang w:val="en-GB" w:eastAsia="hr-HR"/>
        </w:rPr>
      </w:pPr>
    </w:p>
    <w:p w14:paraId="7FE6F1F7" w14:textId="36FB68BF" w:rsidR="00AF68B3" w:rsidRDefault="00AF68B3" w:rsidP="00AF68B3">
      <w:pPr>
        <w:tabs>
          <w:tab w:val="left" w:pos="-720"/>
        </w:tabs>
        <w:suppressAutoHyphens/>
        <w:spacing w:after="0" w:line="240" w:lineRule="auto"/>
        <w:jc w:val="both"/>
        <w:rPr>
          <w:rFonts w:ascii="Arial" w:hAnsi="Arial" w:cs="Arial"/>
          <w:spacing w:val="-3"/>
          <w:sz w:val="20"/>
          <w:szCs w:val="20"/>
        </w:rPr>
      </w:pPr>
      <w:r w:rsidRPr="008B287C">
        <w:rPr>
          <w:rFonts w:ascii="Arial" w:hAnsi="Arial" w:cs="Arial"/>
          <w:color w:val="222222"/>
          <w:sz w:val="20"/>
          <w:szCs w:val="20"/>
          <w:lang w:val="en"/>
        </w:rPr>
        <w:t xml:space="preserve">In the reporting period, net </w:t>
      </w:r>
      <w:r w:rsidR="002B7A48">
        <w:rPr>
          <w:rFonts w:ascii="Arial" w:hAnsi="Arial" w:cs="Arial"/>
          <w:color w:val="222222"/>
          <w:sz w:val="20"/>
          <w:szCs w:val="20"/>
          <w:lang w:val="en"/>
        </w:rPr>
        <w:t>gains</w:t>
      </w:r>
      <w:r w:rsidRPr="008B287C">
        <w:rPr>
          <w:rFonts w:ascii="Arial" w:hAnsi="Arial" w:cs="Arial"/>
          <w:color w:val="222222"/>
          <w:sz w:val="20"/>
          <w:szCs w:val="20"/>
          <w:lang w:val="en"/>
        </w:rPr>
        <w:t xml:space="preserve"> from financial activities amounted to </w:t>
      </w:r>
      <w:r>
        <w:rPr>
          <w:rFonts w:ascii="Arial" w:hAnsi="Arial" w:cs="Arial"/>
          <w:color w:val="222222"/>
          <w:sz w:val="20"/>
          <w:szCs w:val="20"/>
          <w:lang w:val="en"/>
        </w:rPr>
        <w:t xml:space="preserve">EUR </w:t>
      </w:r>
      <w:r w:rsidR="00F24329">
        <w:rPr>
          <w:rFonts w:ascii="Arial" w:hAnsi="Arial" w:cs="Arial"/>
          <w:color w:val="222222"/>
          <w:sz w:val="20"/>
          <w:szCs w:val="20"/>
          <w:lang w:val="en"/>
        </w:rPr>
        <w:t>5</w:t>
      </w:r>
      <w:r w:rsidR="002B7A48">
        <w:rPr>
          <w:rFonts w:ascii="Arial" w:hAnsi="Arial" w:cs="Arial"/>
          <w:color w:val="222222"/>
          <w:sz w:val="20"/>
          <w:szCs w:val="20"/>
          <w:lang w:val="en"/>
        </w:rPr>
        <w:t>.</w:t>
      </w:r>
      <w:r w:rsidR="00F24329">
        <w:rPr>
          <w:rFonts w:ascii="Arial" w:hAnsi="Arial" w:cs="Arial"/>
          <w:color w:val="222222"/>
          <w:sz w:val="20"/>
          <w:szCs w:val="20"/>
          <w:lang w:val="en"/>
        </w:rPr>
        <w:t>1</w:t>
      </w:r>
      <w:r>
        <w:rPr>
          <w:rFonts w:ascii="Arial" w:hAnsi="Arial" w:cs="Arial"/>
          <w:spacing w:val="-3"/>
          <w:sz w:val="20"/>
          <w:szCs w:val="20"/>
          <w:lang w:val="en-GB"/>
        </w:rPr>
        <w:t xml:space="preserve"> </w:t>
      </w:r>
      <w:r w:rsidRPr="008B287C">
        <w:rPr>
          <w:rFonts w:ascii="Arial" w:hAnsi="Arial" w:cs="Arial"/>
          <w:color w:val="222222"/>
          <w:sz w:val="20"/>
          <w:szCs w:val="20"/>
          <w:lang w:val="en"/>
        </w:rPr>
        <w:t xml:space="preserve">million, </w:t>
      </w:r>
      <w:r w:rsidRPr="008B287C">
        <w:rPr>
          <w:rFonts w:ascii="Arial" w:hAnsi="Arial" w:cs="Arial"/>
          <w:spacing w:val="-3"/>
          <w:sz w:val="20"/>
          <w:szCs w:val="20"/>
          <w:lang w:val="en-GB"/>
        </w:rPr>
        <w:t xml:space="preserve">whereas, in the same reporting period previous year, net </w:t>
      </w:r>
      <w:r w:rsidR="00735854">
        <w:rPr>
          <w:rFonts w:ascii="Arial" w:hAnsi="Arial" w:cs="Arial"/>
          <w:spacing w:val="-3"/>
          <w:sz w:val="20"/>
          <w:szCs w:val="20"/>
          <w:lang w:val="en-GB"/>
        </w:rPr>
        <w:t>gains</w:t>
      </w:r>
      <w:r w:rsidRPr="008B287C">
        <w:rPr>
          <w:rFonts w:ascii="Arial" w:hAnsi="Arial" w:cs="Arial"/>
          <w:spacing w:val="-3"/>
          <w:sz w:val="20"/>
          <w:szCs w:val="20"/>
          <w:lang w:val="en-GB"/>
        </w:rPr>
        <w:t xml:space="preserve"> amounted to </w:t>
      </w:r>
      <w:r>
        <w:rPr>
          <w:rFonts w:ascii="Arial" w:hAnsi="Arial" w:cs="Arial"/>
          <w:spacing w:val="-3"/>
          <w:sz w:val="20"/>
          <w:szCs w:val="20"/>
          <w:lang w:val="en-GB"/>
        </w:rPr>
        <w:t xml:space="preserve">EUR </w:t>
      </w:r>
      <w:r w:rsidR="00735854">
        <w:rPr>
          <w:rFonts w:ascii="Arial" w:hAnsi="Arial" w:cs="Arial"/>
          <w:spacing w:val="-3"/>
          <w:sz w:val="20"/>
          <w:szCs w:val="20"/>
          <w:lang w:val="en-GB"/>
        </w:rPr>
        <w:t>0</w:t>
      </w:r>
      <w:r w:rsidR="001C0568">
        <w:rPr>
          <w:rFonts w:ascii="Arial" w:hAnsi="Arial" w:cs="Arial"/>
          <w:spacing w:val="-3"/>
          <w:sz w:val="20"/>
          <w:szCs w:val="20"/>
          <w:lang w:val="en-GB"/>
        </w:rPr>
        <w:t>.</w:t>
      </w:r>
      <w:r w:rsidR="00735854">
        <w:rPr>
          <w:rFonts w:ascii="Arial" w:hAnsi="Arial" w:cs="Arial"/>
          <w:spacing w:val="-3"/>
          <w:sz w:val="20"/>
          <w:szCs w:val="20"/>
          <w:lang w:val="en-GB"/>
        </w:rPr>
        <w:t>4</w:t>
      </w:r>
      <w:r w:rsidRPr="008B287C">
        <w:rPr>
          <w:rFonts w:ascii="Arial" w:hAnsi="Arial" w:cs="Arial"/>
          <w:spacing w:val="-3"/>
          <w:sz w:val="20"/>
          <w:szCs w:val="20"/>
        </w:rPr>
        <w:t xml:space="preserve"> million. </w:t>
      </w:r>
    </w:p>
    <w:p w14:paraId="2424F18A" w14:textId="77777777" w:rsidR="00AF68B3" w:rsidRDefault="00AF68B3" w:rsidP="00AF68B3">
      <w:pPr>
        <w:tabs>
          <w:tab w:val="left" w:pos="-720"/>
        </w:tabs>
        <w:suppressAutoHyphens/>
        <w:spacing w:after="0" w:line="240" w:lineRule="auto"/>
        <w:jc w:val="both"/>
        <w:rPr>
          <w:rFonts w:ascii="Arial" w:hAnsi="Arial" w:cs="Arial"/>
          <w:spacing w:val="-3"/>
          <w:sz w:val="20"/>
          <w:szCs w:val="20"/>
        </w:rPr>
      </w:pPr>
    </w:p>
    <w:p w14:paraId="293477A0" w14:textId="2A768033" w:rsidR="00BF16A2" w:rsidRPr="005118FE" w:rsidRDefault="00BF16A2" w:rsidP="00BF17D9">
      <w:pPr>
        <w:tabs>
          <w:tab w:val="left" w:pos="-720"/>
        </w:tabs>
        <w:suppressAutoHyphens/>
        <w:spacing w:after="0" w:line="240" w:lineRule="auto"/>
        <w:jc w:val="both"/>
        <w:rPr>
          <w:rFonts w:ascii="Arial" w:hAnsi="Arial" w:cs="Arial"/>
          <w:spacing w:val="-3"/>
          <w:sz w:val="20"/>
          <w:szCs w:val="20"/>
          <w:lang w:val="en-GB"/>
        </w:rPr>
        <w:sectPr w:rsidR="00BF16A2" w:rsidRPr="005118FE">
          <w:footerReference w:type="default" r:id="rId31"/>
          <w:pgSz w:w="11906" w:h="16838"/>
          <w:pgMar w:top="1417" w:right="1417" w:bottom="1417" w:left="1417" w:header="708" w:footer="708" w:gutter="0"/>
          <w:cols w:space="708"/>
          <w:docGrid w:linePitch="360"/>
        </w:sectPr>
      </w:pPr>
      <w:r w:rsidRPr="005118FE">
        <w:rPr>
          <w:rFonts w:ascii="Arial" w:hAnsi="Arial" w:cs="Arial"/>
          <w:spacing w:val="-3"/>
          <w:sz w:val="20"/>
          <w:szCs w:val="20"/>
        </w:rPr>
        <w:t xml:space="preserve">. </w:t>
      </w:r>
    </w:p>
    <w:p w14:paraId="79C5FB9C" w14:textId="77777777" w:rsidR="00455BAA" w:rsidRDefault="00455BAA" w:rsidP="00455BAA">
      <w:pPr>
        <w:tabs>
          <w:tab w:val="left" w:pos="-720"/>
        </w:tabs>
        <w:suppressAutoHyphens/>
        <w:spacing w:after="0" w:line="240" w:lineRule="auto"/>
        <w:jc w:val="both"/>
        <w:rPr>
          <w:rFonts w:ascii="Arial" w:hAnsi="Arial" w:cs="Arial"/>
          <w:spacing w:val="-3"/>
          <w:sz w:val="20"/>
          <w:szCs w:val="20"/>
          <w:lang w:val="en-GB"/>
        </w:rPr>
      </w:pPr>
      <w:r w:rsidRPr="008B287C">
        <w:rPr>
          <w:rFonts w:ascii="Arial" w:hAnsi="Arial" w:cs="Arial"/>
          <w:spacing w:val="-3"/>
          <w:sz w:val="20"/>
          <w:szCs w:val="20"/>
          <w:lang w:val="en-GB"/>
        </w:rPr>
        <w:lastRenderedPageBreak/>
        <w:t xml:space="preserve">A breakdown of changes in the exchange rate of </w:t>
      </w:r>
      <w:r>
        <w:rPr>
          <w:rFonts w:ascii="Arial" w:hAnsi="Arial" w:cs="Arial"/>
          <w:spacing w:val="-3"/>
          <w:sz w:val="20"/>
          <w:szCs w:val="20"/>
          <w:lang w:val="en-GB"/>
        </w:rPr>
        <w:t xml:space="preserve">the euros </w:t>
      </w:r>
      <w:r w:rsidRPr="008B287C">
        <w:rPr>
          <w:rFonts w:ascii="Arial" w:hAnsi="Arial" w:cs="Arial"/>
          <w:spacing w:val="-3"/>
          <w:sz w:val="20"/>
          <w:szCs w:val="20"/>
          <w:lang w:val="en-GB"/>
        </w:rPr>
        <w:t xml:space="preserve">against </w:t>
      </w:r>
      <w:r>
        <w:rPr>
          <w:rFonts w:ascii="Arial" w:hAnsi="Arial" w:cs="Arial"/>
          <w:spacing w:val="-3"/>
          <w:sz w:val="20"/>
          <w:szCs w:val="20"/>
          <w:lang w:val="en-GB"/>
        </w:rPr>
        <w:t>t</w:t>
      </w:r>
      <w:r w:rsidRPr="008B287C">
        <w:rPr>
          <w:rFonts w:ascii="Arial" w:hAnsi="Arial" w:cs="Arial"/>
          <w:spacing w:val="-3"/>
          <w:sz w:val="20"/>
          <w:szCs w:val="20"/>
          <w:lang w:val="en-GB"/>
        </w:rPr>
        <w:t>he USD:</w:t>
      </w:r>
    </w:p>
    <w:p w14:paraId="5E897915" w14:textId="77777777" w:rsidR="009270B7" w:rsidRPr="008B287C" w:rsidRDefault="009270B7" w:rsidP="00455BAA">
      <w:pPr>
        <w:tabs>
          <w:tab w:val="left" w:pos="-720"/>
        </w:tabs>
        <w:suppressAutoHyphens/>
        <w:spacing w:after="0" w:line="240" w:lineRule="auto"/>
        <w:jc w:val="both"/>
        <w:rPr>
          <w:rFonts w:ascii="Arial" w:hAnsi="Arial" w:cs="Arial"/>
          <w:spacing w:val="-3"/>
          <w:sz w:val="20"/>
          <w:szCs w:val="20"/>
          <w:lang w:val="en-GB"/>
        </w:rPr>
      </w:pPr>
    </w:p>
    <w:p w14:paraId="3100AD6C" w14:textId="44B354B0" w:rsidR="0013484A" w:rsidRPr="00041197" w:rsidRDefault="006E28E9" w:rsidP="00BF17D9">
      <w:pPr>
        <w:tabs>
          <w:tab w:val="left" w:pos="-720"/>
        </w:tabs>
        <w:suppressAutoHyphens/>
        <w:spacing w:after="0" w:line="240" w:lineRule="auto"/>
        <w:jc w:val="both"/>
        <w:rPr>
          <w:rFonts w:cstheme="minorHAnsi"/>
          <w:spacing w:val="-3"/>
          <w:sz w:val="24"/>
          <w:szCs w:val="24"/>
          <w:lang w:val="en-GB"/>
        </w:rPr>
      </w:pPr>
      <w:r>
        <w:rPr>
          <w:rFonts w:cstheme="minorHAnsi"/>
          <w:spacing w:val="-3"/>
          <w:sz w:val="24"/>
          <w:szCs w:val="24"/>
          <w:lang w:val="en-GB"/>
        </w:rPr>
        <w:t xml:space="preserve">  </w:t>
      </w:r>
      <w:r w:rsidR="00DC5DA7">
        <w:rPr>
          <w:noProof/>
        </w:rPr>
        <w:drawing>
          <wp:inline distT="0" distB="0" distL="0" distR="0" wp14:anchorId="2EC4B65C" wp14:editId="0F12CAC1">
            <wp:extent cx="3542083" cy="2072820"/>
            <wp:effectExtent l="0" t="0" r="1270" b="3810"/>
            <wp:docPr id="3" name="Slika 2" descr="Slika na kojoj se prikazuje tekst, crta, snimka zaslona, dijagram">
              <a:extLst xmlns:a="http://schemas.openxmlformats.org/drawingml/2006/main">
                <a:ext uri="{FF2B5EF4-FFF2-40B4-BE49-F238E27FC236}">
                  <a16:creationId xmlns:a16="http://schemas.microsoft.com/office/drawing/2014/main" id="{D2862E2B-4DE4-EAAF-B3EC-83CDB114C9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2" descr="Slika na kojoj se prikazuje tekst, crta, snimka zaslona, dijagram">
                      <a:extLst>
                        <a:ext uri="{FF2B5EF4-FFF2-40B4-BE49-F238E27FC236}">
                          <a16:creationId xmlns:a16="http://schemas.microsoft.com/office/drawing/2014/main" id="{D2862E2B-4DE4-EAAF-B3EC-83CDB114C9F2}"/>
                        </a:ext>
                      </a:extLst>
                    </pic:cNvPr>
                    <pic:cNvPicPr>
                      <a:picLocks noChangeAspect="1"/>
                    </pic:cNvPicPr>
                  </pic:nvPicPr>
                  <pic:blipFill>
                    <a:blip r:embed="rId32"/>
                    <a:stretch>
                      <a:fillRect/>
                    </a:stretch>
                  </pic:blipFill>
                  <pic:spPr>
                    <a:xfrm>
                      <a:off x="0" y="0"/>
                      <a:ext cx="3542083" cy="2072820"/>
                    </a:xfrm>
                    <a:prstGeom prst="rect">
                      <a:avLst/>
                    </a:prstGeom>
                  </pic:spPr>
                </pic:pic>
              </a:graphicData>
            </a:graphic>
          </wp:inline>
        </w:drawing>
      </w:r>
    </w:p>
    <w:p w14:paraId="22242E84" w14:textId="77777777" w:rsidR="00EC18A6" w:rsidRPr="00041197" w:rsidRDefault="00BF17D9" w:rsidP="00EC18A6">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sidRPr="00041197">
        <w:rPr>
          <w:rFonts w:cstheme="minorHAnsi"/>
          <w:spacing w:val="-3"/>
          <w:sz w:val="24"/>
          <w:szCs w:val="24"/>
          <w:lang w:val="en-GB"/>
        </w:rPr>
        <w:t xml:space="preserve"> </w:t>
      </w:r>
      <w:r w:rsidR="006E28E9">
        <w:rPr>
          <w:rFonts w:cstheme="minorHAnsi"/>
          <w:spacing w:val="-3"/>
          <w:sz w:val="24"/>
          <w:szCs w:val="24"/>
          <w:lang w:val="en-GB"/>
        </w:rPr>
        <w:t xml:space="preserve">  </w:t>
      </w:r>
      <w:r w:rsidRPr="00041197">
        <w:rPr>
          <w:rFonts w:cstheme="minorHAnsi"/>
          <w:spacing w:val="-3"/>
          <w:sz w:val="24"/>
          <w:szCs w:val="24"/>
          <w:lang w:val="en-GB"/>
        </w:rPr>
        <w:t xml:space="preserve"> </w:t>
      </w:r>
      <w:r w:rsidR="00A72F02" w:rsidRPr="00041197">
        <w:rPr>
          <w:rFonts w:cstheme="minorHAnsi"/>
          <w:spacing w:val="-3"/>
          <w:sz w:val="24"/>
          <w:szCs w:val="24"/>
          <w:lang w:val="en-GB"/>
        </w:rPr>
        <w:t xml:space="preserve"> </w:t>
      </w:r>
      <w:r w:rsidR="00EC18A6">
        <w:rPr>
          <w:rFonts w:cstheme="minorHAnsi"/>
          <w:spacing w:val="-3"/>
          <w:sz w:val="24"/>
          <w:szCs w:val="24"/>
          <w:lang w:val="en-GB"/>
        </w:rPr>
        <w:t xml:space="preserve">        </w:t>
      </w:r>
      <w:r w:rsidR="00EC18A6" w:rsidRPr="00041197">
        <w:rPr>
          <w:rFonts w:cstheme="minorHAnsi"/>
          <w:spacing w:val="-3"/>
          <w:sz w:val="24"/>
          <w:szCs w:val="24"/>
          <w:lang w:val="en-GB"/>
        </w:rPr>
        <w:t xml:space="preserve"> </w:t>
      </w:r>
      <w:r w:rsidR="00EC18A6" w:rsidRPr="00041197">
        <w:rPr>
          <w:rFonts w:cstheme="minorHAnsi"/>
          <w:color w:val="7F7F7F" w:themeColor="text1" w:themeTint="80"/>
          <w:spacing w:val="-3"/>
          <w:sz w:val="20"/>
          <w:szCs w:val="24"/>
          <w:lang w:val="en-GB"/>
        </w:rPr>
        <w:t>N</w:t>
      </w:r>
      <w:r w:rsidR="00EC18A6">
        <w:rPr>
          <w:rFonts w:cstheme="minorHAnsi"/>
          <w:color w:val="7F7F7F" w:themeColor="text1" w:themeTint="80"/>
          <w:spacing w:val="-3"/>
          <w:sz w:val="20"/>
          <w:szCs w:val="24"/>
          <w:lang w:val="en-GB"/>
        </w:rPr>
        <w:t>ote</w:t>
      </w:r>
      <w:r w:rsidR="00EC18A6" w:rsidRPr="00041197">
        <w:rPr>
          <w:rFonts w:cstheme="minorHAnsi"/>
          <w:color w:val="7F7F7F" w:themeColor="text1" w:themeTint="80"/>
          <w:spacing w:val="-3"/>
          <w:sz w:val="20"/>
          <w:szCs w:val="24"/>
          <w:lang w:val="en-GB"/>
        </w:rPr>
        <w:t>:</w:t>
      </w:r>
    </w:p>
    <w:p w14:paraId="61193AB8" w14:textId="25D161B6" w:rsidR="00EC18A6" w:rsidRPr="00041197" w:rsidRDefault="00EC18A6" w:rsidP="00EC18A6">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DC5DA7" w:rsidRPr="00DC5DA7">
        <w:rPr>
          <w:rFonts w:cstheme="minorHAnsi"/>
          <w:color w:val="7F7F7F" w:themeColor="text1" w:themeTint="80"/>
          <w:spacing w:val="-3"/>
          <w:sz w:val="20"/>
          <w:szCs w:val="24"/>
          <w:lang w:val="en-GB"/>
        </w:rPr>
        <w:t>A1 = EUR appreciation Jun 30, 2025/Dec 31, 2024</w:t>
      </w:r>
    </w:p>
    <w:p w14:paraId="22D6A388" w14:textId="50A60DB6" w:rsidR="00BF17D9" w:rsidRDefault="00EC18A6" w:rsidP="00DC5DA7">
      <w:pPr>
        <w:tabs>
          <w:tab w:val="left" w:pos="-720"/>
          <w:tab w:val="left" w:pos="4820"/>
        </w:tabs>
        <w:suppressAutoHyphens/>
        <w:spacing w:after="0" w:line="240" w:lineRule="auto"/>
        <w:ind w:left="-426" w:right="-567"/>
        <w:jc w:val="both"/>
        <w:rPr>
          <w:rFonts w:cstheme="minorHAnsi"/>
          <w:spacing w:val="-3"/>
          <w:sz w:val="20"/>
          <w:szCs w:val="24"/>
          <w:lang w:val="en-GB"/>
        </w:rPr>
      </w:pPr>
      <w:r w:rsidRPr="00041197">
        <w:rPr>
          <w:rFonts w:cstheme="minorHAnsi"/>
          <w:color w:val="7F7F7F" w:themeColor="text1" w:themeTint="80"/>
          <w:spacing w:val="-3"/>
          <w:sz w:val="20"/>
          <w:szCs w:val="24"/>
          <w:lang w:val="en-GB"/>
        </w:rPr>
        <w:t xml:space="preserve">         </w:t>
      </w:r>
      <w:r>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sidR="00DC5DA7" w:rsidRPr="00DC5DA7">
        <w:rPr>
          <w:rFonts w:cstheme="minorHAnsi"/>
          <w:color w:val="7F7F7F" w:themeColor="text1" w:themeTint="80"/>
          <w:spacing w:val="-3"/>
          <w:sz w:val="20"/>
          <w:szCs w:val="24"/>
          <w:lang w:val="en-GB"/>
        </w:rPr>
        <w:t>A2 = EUR appreciation Jun 30, 2025/Jun 30, 2024</w:t>
      </w:r>
    </w:p>
    <w:p w14:paraId="060A7474" w14:textId="77777777" w:rsidR="003E6CE4" w:rsidRDefault="003E6CE4" w:rsidP="0001708D">
      <w:pPr>
        <w:spacing w:after="0" w:line="240" w:lineRule="auto"/>
        <w:jc w:val="both"/>
        <w:rPr>
          <w:rFonts w:ascii="Arial" w:eastAsia="Calibri" w:hAnsi="Arial" w:cs="Arial"/>
          <w:spacing w:val="-3"/>
          <w:sz w:val="20"/>
          <w:szCs w:val="20"/>
          <w:lang w:val="en-GB"/>
        </w:rPr>
      </w:pPr>
    </w:p>
    <w:p w14:paraId="4A2D1AF5" w14:textId="2F87C12C" w:rsidR="0001708D" w:rsidRPr="003D0AE6" w:rsidRDefault="0001708D" w:rsidP="0001708D">
      <w:pPr>
        <w:spacing w:after="0" w:line="240" w:lineRule="auto"/>
        <w:jc w:val="both"/>
        <w:rPr>
          <w:rFonts w:ascii="Arial" w:eastAsia="Calibri" w:hAnsi="Arial" w:cs="Arial"/>
          <w:spacing w:val="-3"/>
          <w:sz w:val="20"/>
          <w:szCs w:val="20"/>
          <w:lang w:val="en-GB"/>
        </w:rPr>
      </w:pPr>
      <w:r w:rsidRPr="003D0AE6">
        <w:rPr>
          <w:rFonts w:ascii="Arial" w:eastAsia="Calibri" w:hAnsi="Arial" w:cs="Arial"/>
          <w:spacing w:val="-3"/>
          <w:sz w:val="20"/>
          <w:szCs w:val="20"/>
          <w:lang w:val="en-GB"/>
        </w:rPr>
        <w:t>Funds and sources of funds that are denominated in another currency or are indexed to the currency clause are converted by HBOR into the equivalent value in EUR at the middle exchange rate of HBOR or another agreed exchange rate on the reporting date.</w:t>
      </w:r>
    </w:p>
    <w:p w14:paraId="3F700F22" w14:textId="77777777" w:rsidR="0001708D" w:rsidRDefault="0001708D" w:rsidP="0001708D">
      <w:pPr>
        <w:tabs>
          <w:tab w:val="left" w:pos="-720"/>
        </w:tabs>
        <w:suppressAutoHyphens/>
        <w:spacing w:after="0" w:line="240" w:lineRule="auto"/>
        <w:jc w:val="both"/>
        <w:rPr>
          <w:rFonts w:ascii="Arial" w:hAnsi="Arial" w:cs="Arial"/>
          <w:spacing w:val="-3"/>
          <w:sz w:val="20"/>
          <w:szCs w:val="20"/>
          <w:lang w:val="en-GB"/>
        </w:rPr>
      </w:pPr>
    </w:p>
    <w:p w14:paraId="490154EE" w14:textId="77777777" w:rsidR="0001708D" w:rsidRPr="001B18D1" w:rsidRDefault="0001708D" w:rsidP="0001708D">
      <w:pPr>
        <w:tabs>
          <w:tab w:val="left" w:pos="-720"/>
        </w:tabs>
        <w:suppressAutoHyphens/>
        <w:spacing w:after="0" w:line="240" w:lineRule="auto"/>
        <w:jc w:val="both"/>
        <w:rPr>
          <w:rFonts w:ascii="Arial" w:hAnsi="Arial" w:cs="Arial"/>
          <w:spacing w:val="-3"/>
          <w:sz w:val="20"/>
          <w:szCs w:val="20"/>
          <w:lang w:val="en-GB"/>
        </w:rPr>
      </w:pPr>
      <w:bookmarkStart w:id="2" w:name="_Hlk134526966"/>
      <w:r w:rsidRPr="00E6154F">
        <w:rPr>
          <w:rFonts w:ascii="Arial" w:hAnsi="Arial" w:cs="Arial"/>
          <w:spacing w:val="-3"/>
          <w:sz w:val="20"/>
          <w:szCs w:val="20"/>
          <w:lang w:val="en-GB"/>
        </w:rPr>
        <w:t xml:space="preserve">Revenues and expenditures in another currency are converted at the exchange rate on the transaction date. </w:t>
      </w:r>
      <w:bookmarkEnd w:id="2"/>
      <w:r w:rsidRPr="00E6154F">
        <w:rPr>
          <w:rFonts w:ascii="Arial" w:hAnsi="Arial" w:cs="Arial"/>
          <w:spacing w:val="-3"/>
          <w:sz w:val="20"/>
          <w:szCs w:val="20"/>
          <w:lang w:val="en-GB"/>
        </w:rPr>
        <w:t>The resulting foreign exchange gains or losses are recorded in the Profit or Loss Account in net figures.</w:t>
      </w:r>
    </w:p>
    <w:p w14:paraId="28B4B210" w14:textId="77777777" w:rsidR="00F33CA9" w:rsidRPr="00927A00" w:rsidRDefault="00F33CA9" w:rsidP="00013CB8">
      <w:pPr>
        <w:spacing w:after="0" w:line="240" w:lineRule="auto"/>
        <w:jc w:val="both"/>
        <w:rPr>
          <w:rFonts w:ascii="Arial" w:eastAsia="Times New Roman" w:hAnsi="Arial" w:cs="Arial"/>
          <w:b/>
          <w:i/>
          <w:sz w:val="20"/>
          <w:szCs w:val="20"/>
          <w:lang w:val="en-GB" w:eastAsia="hr-HR"/>
        </w:rPr>
      </w:pPr>
    </w:p>
    <w:p w14:paraId="4BFBFC57" w14:textId="1343BCF5" w:rsidR="00013CB8" w:rsidRPr="00927A00" w:rsidRDefault="00013CB8" w:rsidP="00013CB8">
      <w:pPr>
        <w:spacing w:after="0" w:line="240" w:lineRule="auto"/>
        <w:jc w:val="both"/>
        <w:rPr>
          <w:rFonts w:ascii="Arial" w:eastAsia="Times New Roman" w:hAnsi="Arial" w:cs="Arial"/>
          <w:b/>
          <w:i/>
          <w:sz w:val="20"/>
          <w:szCs w:val="20"/>
          <w:lang w:val="en-GB" w:eastAsia="hr-HR"/>
        </w:rPr>
      </w:pPr>
      <w:r w:rsidRPr="00927A00">
        <w:rPr>
          <w:rFonts w:ascii="Arial" w:eastAsia="Times New Roman" w:hAnsi="Arial" w:cs="Arial"/>
          <w:b/>
          <w:i/>
          <w:sz w:val="20"/>
          <w:szCs w:val="20"/>
          <w:lang w:val="en-GB" w:eastAsia="hr-HR"/>
        </w:rPr>
        <w:t>Operating expenses</w:t>
      </w:r>
    </w:p>
    <w:p w14:paraId="1D0C7118" w14:textId="77777777" w:rsidR="00BF17D9" w:rsidRPr="00927A00" w:rsidRDefault="00BF17D9" w:rsidP="00BF17D9">
      <w:pPr>
        <w:spacing w:after="0" w:line="240" w:lineRule="auto"/>
        <w:jc w:val="both"/>
        <w:rPr>
          <w:rFonts w:ascii="Arial" w:eastAsia="Times New Roman" w:hAnsi="Arial" w:cs="Arial"/>
          <w:b/>
          <w:sz w:val="20"/>
          <w:szCs w:val="20"/>
          <w:lang w:val="en-GB" w:eastAsia="hr-HR"/>
        </w:rPr>
      </w:pPr>
    </w:p>
    <w:p w14:paraId="08F4A42D" w14:textId="5153B3D1" w:rsidR="00717BC5" w:rsidRPr="0080579A" w:rsidRDefault="00B920AD" w:rsidP="00717BC5">
      <w:pPr>
        <w:spacing w:after="0" w:line="240" w:lineRule="auto"/>
        <w:jc w:val="both"/>
        <w:rPr>
          <w:rFonts w:ascii="Arial" w:eastAsia="Calibri" w:hAnsi="Arial" w:cs="Arial"/>
          <w:spacing w:val="-3"/>
          <w:sz w:val="20"/>
          <w:szCs w:val="20"/>
          <w:lang w:val="en-GB"/>
        </w:rPr>
      </w:pPr>
      <w:r w:rsidRPr="001B18D1">
        <w:rPr>
          <w:rFonts w:ascii="Arial" w:hAnsi="Arial" w:cs="Arial"/>
          <w:spacing w:val="-3"/>
          <w:sz w:val="20"/>
          <w:szCs w:val="20"/>
          <w:lang w:val="en-GB"/>
        </w:rPr>
        <w:t xml:space="preserve">Operating expenses that include general and administrative expenses and other operating expenses stood at </w:t>
      </w:r>
      <w:r>
        <w:rPr>
          <w:rFonts w:ascii="Arial" w:hAnsi="Arial" w:cs="Arial"/>
          <w:spacing w:val="-3"/>
          <w:sz w:val="20"/>
          <w:szCs w:val="20"/>
          <w:lang w:val="en-GB"/>
        </w:rPr>
        <w:t xml:space="preserve">EUR </w:t>
      </w:r>
      <w:r w:rsidR="00843E54">
        <w:rPr>
          <w:rFonts w:ascii="Arial" w:hAnsi="Arial" w:cs="Arial"/>
          <w:spacing w:val="-3"/>
          <w:sz w:val="20"/>
          <w:szCs w:val="20"/>
          <w:lang w:val="en-GB"/>
        </w:rPr>
        <w:t>1</w:t>
      </w:r>
      <w:r w:rsidR="000E37BB">
        <w:rPr>
          <w:rFonts w:ascii="Arial" w:hAnsi="Arial" w:cs="Arial"/>
          <w:spacing w:val="-3"/>
          <w:sz w:val="20"/>
          <w:szCs w:val="20"/>
          <w:lang w:val="en-GB"/>
        </w:rPr>
        <w:t>6</w:t>
      </w:r>
      <w:r w:rsidR="00843E54">
        <w:rPr>
          <w:rFonts w:ascii="Arial" w:hAnsi="Arial" w:cs="Arial"/>
          <w:spacing w:val="-3"/>
          <w:sz w:val="20"/>
          <w:szCs w:val="20"/>
          <w:lang w:val="en-GB"/>
        </w:rPr>
        <w:t>.</w:t>
      </w:r>
      <w:r w:rsidR="000E37BB">
        <w:rPr>
          <w:rFonts w:ascii="Arial" w:hAnsi="Arial" w:cs="Arial"/>
          <w:spacing w:val="-3"/>
          <w:sz w:val="20"/>
          <w:szCs w:val="20"/>
          <w:lang w:val="en-GB"/>
        </w:rPr>
        <w:t>1</w:t>
      </w:r>
      <w:r w:rsidRPr="001B18D1">
        <w:rPr>
          <w:rFonts w:ascii="Arial" w:hAnsi="Arial" w:cs="Arial"/>
          <w:spacing w:val="-3"/>
          <w:sz w:val="20"/>
          <w:szCs w:val="20"/>
          <w:lang w:val="en-GB"/>
        </w:rPr>
        <w:t xml:space="preserve"> million, a</w:t>
      </w:r>
      <w:r w:rsidR="00CE2570">
        <w:rPr>
          <w:rFonts w:ascii="Arial" w:hAnsi="Arial" w:cs="Arial"/>
          <w:spacing w:val="-3"/>
          <w:sz w:val="20"/>
          <w:szCs w:val="20"/>
          <w:lang w:val="en-GB"/>
        </w:rPr>
        <w:t>n in</w:t>
      </w:r>
      <w:r w:rsidRPr="001B18D1">
        <w:rPr>
          <w:rFonts w:ascii="Arial" w:hAnsi="Arial" w:cs="Arial"/>
          <w:spacing w:val="-3"/>
          <w:sz w:val="20"/>
          <w:szCs w:val="20"/>
          <w:lang w:val="en-GB"/>
        </w:rPr>
        <w:t xml:space="preserve">crease of </w:t>
      </w:r>
      <w:r w:rsidR="00F93354">
        <w:rPr>
          <w:rFonts w:ascii="Arial" w:hAnsi="Arial" w:cs="Arial"/>
          <w:spacing w:val="-3"/>
          <w:sz w:val="20"/>
          <w:szCs w:val="20"/>
          <w:lang w:val="en-GB"/>
        </w:rPr>
        <w:t>1</w:t>
      </w:r>
      <w:r w:rsidR="00843E54">
        <w:rPr>
          <w:rFonts w:ascii="Arial" w:hAnsi="Arial" w:cs="Arial"/>
          <w:spacing w:val="-3"/>
          <w:sz w:val="20"/>
          <w:szCs w:val="20"/>
          <w:lang w:val="en-GB"/>
        </w:rPr>
        <w:t>5</w:t>
      </w:r>
      <w:r w:rsidR="00F93354">
        <w:rPr>
          <w:rFonts w:ascii="Arial" w:hAnsi="Arial" w:cs="Arial"/>
          <w:spacing w:val="-3"/>
          <w:sz w:val="20"/>
          <w:szCs w:val="20"/>
          <w:lang w:val="en-GB"/>
        </w:rPr>
        <w:t>.</w:t>
      </w:r>
      <w:r w:rsidR="00843E54">
        <w:rPr>
          <w:rFonts w:ascii="Arial" w:hAnsi="Arial" w:cs="Arial"/>
          <w:spacing w:val="-3"/>
          <w:sz w:val="20"/>
          <w:szCs w:val="20"/>
          <w:lang w:val="en-GB"/>
        </w:rPr>
        <w:t>8</w:t>
      </w:r>
      <w:r w:rsidRPr="001B18D1">
        <w:rPr>
          <w:rFonts w:ascii="Arial" w:hAnsi="Arial" w:cs="Arial"/>
          <w:spacing w:val="-3"/>
          <w:sz w:val="20"/>
          <w:szCs w:val="20"/>
          <w:lang w:val="en-GB"/>
        </w:rPr>
        <w:t xml:space="preserve"> percent compared with the same reporting period last year,</w:t>
      </w:r>
      <w:r w:rsidRPr="001B18D1">
        <w:rPr>
          <w:rFonts w:ascii="Arial" w:hAnsi="Arial" w:cs="Arial"/>
          <w:color w:val="222222"/>
          <w:sz w:val="20"/>
          <w:szCs w:val="20"/>
          <w:lang w:val="en"/>
        </w:rPr>
        <w:t xml:space="preserve"> </w:t>
      </w:r>
      <w:r w:rsidR="00717BC5" w:rsidRPr="000D282D">
        <w:rPr>
          <w:rFonts w:ascii="Arial" w:hAnsi="Arial" w:cs="Arial"/>
          <w:sz w:val="20"/>
          <w:szCs w:val="20"/>
        </w:rPr>
        <w:t xml:space="preserve">mostly </w:t>
      </w:r>
      <w:proofErr w:type="gramStart"/>
      <w:r w:rsidR="00717BC5" w:rsidRPr="000D282D">
        <w:rPr>
          <w:rFonts w:ascii="Arial" w:hAnsi="Arial" w:cs="Arial"/>
          <w:sz w:val="20"/>
          <w:szCs w:val="20"/>
        </w:rPr>
        <w:t>as a result of</w:t>
      </w:r>
      <w:proofErr w:type="gramEnd"/>
      <w:r w:rsidR="00717BC5" w:rsidRPr="000D282D">
        <w:rPr>
          <w:rFonts w:ascii="Arial" w:hAnsi="Arial" w:cs="Arial"/>
          <w:sz w:val="20"/>
          <w:szCs w:val="20"/>
        </w:rPr>
        <w:t xml:space="preserve"> an increase in administrative expenses</w:t>
      </w:r>
      <w:r w:rsidR="00717BC5">
        <w:rPr>
          <w:rFonts w:ascii="Arial" w:hAnsi="Arial" w:cs="Arial"/>
          <w:sz w:val="20"/>
          <w:szCs w:val="20"/>
        </w:rPr>
        <w:t>.</w:t>
      </w:r>
    </w:p>
    <w:p w14:paraId="7F3AA9F4" w14:textId="45829117" w:rsidR="00B920AD" w:rsidRPr="001B18D1" w:rsidRDefault="00B920AD" w:rsidP="00B920AD">
      <w:pPr>
        <w:tabs>
          <w:tab w:val="left" w:pos="-720"/>
        </w:tabs>
        <w:suppressAutoHyphens/>
        <w:spacing w:after="0" w:line="240" w:lineRule="auto"/>
        <w:jc w:val="both"/>
        <w:rPr>
          <w:rFonts w:ascii="Arial" w:hAnsi="Arial" w:cs="Arial"/>
          <w:spacing w:val="-3"/>
          <w:sz w:val="20"/>
          <w:szCs w:val="20"/>
          <w:lang w:val="en-GB"/>
        </w:rPr>
      </w:pPr>
    </w:p>
    <w:p w14:paraId="1A015D4B" w14:textId="785D6AEB" w:rsidR="00013CB8" w:rsidRPr="00927A00" w:rsidRDefault="00013CB8" w:rsidP="00B55698">
      <w:pPr>
        <w:spacing w:after="0" w:line="240" w:lineRule="auto"/>
        <w:jc w:val="both"/>
        <w:rPr>
          <w:rFonts w:ascii="Arial" w:hAnsi="Arial" w:cs="Arial"/>
          <w:sz w:val="20"/>
          <w:szCs w:val="20"/>
          <w:lang w:val="en-GB"/>
        </w:rPr>
      </w:pPr>
      <w:r w:rsidRPr="00927A00">
        <w:rPr>
          <w:rFonts w:ascii="Arial" w:hAnsi="Arial" w:cs="Arial"/>
          <w:sz w:val="20"/>
          <w:szCs w:val="20"/>
          <w:lang w:val="en-GB"/>
        </w:rPr>
        <w:t>On 3</w:t>
      </w:r>
      <w:r w:rsidR="007B0613" w:rsidRPr="00927A00">
        <w:rPr>
          <w:rFonts w:ascii="Arial" w:hAnsi="Arial" w:cs="Arial"/>
          <w:sz w:val="20"/>
          <w:szCs w:val="20"/>
          <w:lang w:val="en-GB"/>
        </w:rPr>
        <w:t>0</w:t>
      </w:r>
      <w:r w:rsidRPr="00927A00">
        <w:rPr>
          <w:rFonts w:ascii="Arial" w:hAnsi="Arial" w:cs="Arial"/>
          <w:sz w:val="20"/>
          <w:szCs w:val="20"/>
          <w:lang w:val="en-GB"/>
        </w:rPr>
        <w:t xml:space="preserve"> </w:t>
      </w:r>
      <w:r w:rsidR="007B0613" w:rsidRPr="00927A00">
        <w:rPr>
          <w:rFonts w:ascii="Arial" w:hAnsi="Arial" w:cs="Arial"/>
          <w:sz w:val="20"/>
          <w:szCs w:val="20"/>
          <w:lang w:val="en-GB"/>
        </w:rPr>
        <w:t>June</w:t>
      </w:r>
      <w:r w:rsidRPr="00927A00">
        <w:rPr>
          <w:rFonts w:ascii="Arial" w:hAnsi="Arial" w:cs="Arial"/>
          <w:sz w:val="20"/>
          <w:szCs w:val="20"/>
          <w:lang w:val="en-GB"/>
        </w:rPr>
        <w:t xml:space="preserve"> 20</w:t>
      </w:r>
      <w:r w:rsidR="00B86B0B" w:rsidRPr="00927A00">
        <w:rPr>
          <w:rFonts w:ascii="Arial" w:hAnsi="Arial" w:cs="Arial"/>
          <w:sz w:val="20"/>
          <w:szCs w:val="20"/>
          <w:lang w:val="en-GB"/>
        </w:rPr>
        <w:t>2</w:t>
      </w:r>
      <w:r w:rsidR="00C86F29">
        <w:rPr>
          <w:rFonts w:ascii="Arial" w:hAnsi="Arial" w:cs="Arial"/>
          <w:sz w:val="20"/>
          <w:szCs w:val="20"/>
          <w:lang w:val="en-GB"/>
        </w:rPr>
        <w:t>5</w:t>
      </w:r>
      <w:r w:rsidRPr="00927A00">
        <w:rPr>
          <w:rFonts w:ascii="Arial" w:hAnsi="Arial" w:cs="Arial"/>
          <w:sz w:val="20"/>
          <w:szCs w:val="20"/>
          <w:lang w:val="en-GB"/>
        </w:rPr>
        <w:t xml:space="preserve">, HBOR had </w:t>
      </w:r>
      <w:r w:rsidR="00843E54">
        <w:rPr>
          <w:rFonts w:ascii="Arial" w:hAnsi="Arial" w:cs="Arial"/>
          <w:sz w:val="20"/>
          <w:szCs w:val="20"/>
          <w:lang w:val="en-GB"/>
        </w:rPr>
        <w:t>4</w:t>
      </w:r>
      <w:r w:rsidR="00C86F29">
        <w:rPr>
          <w:rFonts w:ascii="Arial" w:hAnsi="Arial" w:cs="Arial"/>
          <w:sz w:val="20"/>
          <w:szCs w:val="20"/>
          <w:lang w:val="en-GB"/>
        </w:rPr>
        <w:t>49</w:t>
      </w:r>
      <w:r w:rsidRPr="00927A00">
        <w:rPr>
          <w:rFonts w:ascii="Arial" w:hAnsi="Arial" w:cs="Arial"/>
          <w:sz w:val="20"/>
          <w:szCs w:val="20"/>
          <w:lang w:val="en-GB"/>
        </w:rPr>
        <w:t xml:space="preserve"> employees (on 3</w:t>
      </w:r>
      <w:r w:rsidR="007B0613" w:rsidRPr="00927A00">
        <w:rPr>
          <w:rFonts w:ascii="Arial" w:hAnsi="Arial" w:cs="Arial"/>
          <w:sz w:val="20"/>
          <w:szCs w:val="20"/>
          <w:lang w:val="en-GB"/>
        </w:rPr>
        <w:t>0</w:t>
      </w:r>
      <w:r w:rsidRPr="00927A00">
        <w:rPr>
          <w:rFonts w:ascii="Arial" w:hAnsi="Arial" w:cs="Arial"/>
          <w:sz w:val="20"/>
          <w:szCs w:val="20"/>
          <w:lang w:val="en-GB"/>
        </w:rPr>
        <w:t xml:space="preserve"> </w:t>
      </w:r>
      <w:r w:rsidR="007B0613" w:rsidRPr="00927A00">
        <w:rPr>
          <w:rFonts w:ascii="Arial" w:hAnsi="Arial" w:cs="Arial"/>
          <w:sz w:val="20"/>
          <w:szCs w:val="20"/>
          <w:lang w:val="en-GB"/>
        </w:rPr>
        <w:t>June</w:t>
      </w:r>
      <w:r w:rsidRPr="00927A00">
        <w:rPr>
          <w:rFonts w:ascii="Arial" w:hAnsi="Arial" w:cs="Arial"/>
          <w:sz w:val="20"/>
          <w:szCs w:val="20"/>
          <w:lang w:val="en-GB"/>
        </w:rPr>
        <w:t xml:space="preserve"> 20</w:t>
      </w:r>
      <w:r w:rsidR="00DD3AE5" w:rsidRPr="00927A00">
        <w:rPr>
          <w:rFonts w:ascii="Arial" w:hAnsi="Arial" w:cs="Arial"/>
          <w:sz w:val="20"/>
          <w:szCs w:val="20"/>
          <w:lang w:val="en-GB"/>
        </w:rPr>
        <w:t>2</w:t>
      </w:r>
      <w:r w:rsidR="00C86F29">
        <w:rPr>
          <w:rFonts w:ascii="Arial" w:hAnsi="Arial" w:cs="Arial"/>
          <w:sz w:val="20"/>
          <w:szCs w:val="20"/>
          <w:lang w:val="en-GB"/>
        </w:rPr>
        <w:t>4</w:t>
      </w:r>
      <w:r w:rsidRPr="00927A00">
        <w:rPr>
          <w:rFonts w:ascii="Arial" w:hAnsi="Arial" w:cs="Arial"/>
          <w:sz w:val="20"/>
          <w:szCs w:val="20"/>
          <w:lang w:val="en-GB"/>
        </w:rPr>
        <w:t xml:space="preserve">: </w:t>
      </w:r>
      <w:r w:rsidR="00C86F29">
        <w:rPr>
          <w:rFonts w:ascii="Arial" w:hAnsi="Arial" w:cs="Arial"/>
          <w:sz w:val="20"/>
          <w:szCs w:val="20"/>
          <w:lang w:val="en-GB"/>
        </w:rPr>
        <w:t>427</w:t>
      </w:r>
      <w:r w:rsidRPr="00927A00">
        <w:rPr>
          <w:rFonts w:ascii="Arial" w:hAnsi="Arial" w:cs="Arial"/>
          <w:sz w:val="20"/>
          <w:szCs w:val="20"/>
          <w:lang w:val="en-GB"/>
        </w:rPr>
        <w:t xml:space="preserve"> employees</w:t>
      </w:r>
      <w:r w:rsidR="001C7CA1" w:rsidRPr="00927A00">
        <w:rPr>
          <w:rFonts w:ascii="Arial" w:hAnsi="Arial" w:cs="Arial"/>
          <w:sz w:val="20"/>
          <w:szCs w:val="20"/>
          <w:lang w:val="en-GB"/>
        </w:rPr>
        <w:t>)</w:t>
      </w:r>
      <w:r w:rsidRPr="00927A00">
        <w:rPr>
          <w:rFonts w:ascii="Arial" w:hAnsi="Arial" w:cs="Arial"/>
          <w:sz w:val="20"/>
          <w:szCs w:val="20"/>
          <w:lang w:val="en-GB"/>
        </w:rPr>
        <w:t>.</w:t>
      </w:r>
    </w:p>
    <w:p w14:paraId="0DD18BF6" w14:textId="77777777" w:rsidR="00615087" w:rsidRDefault="00615087" w:rsidP="00B55698">
      <w:pPr>
        <w:spacing w:after="0" w:line="240" w:lineRule="auto"/>
        <w:jc w:val="both"/>
        <w:rPr>
          <w:rFonts w:ascii="Arial" w:eastAsia="Times New Roman" w:hAnsi="Arial" w:cs="Arial"/>
          <w:b/>
          <w:i/>
          <w:spacing w:val="-3"/>
          <w:sz w:val="20"/>
          <w:szCs w:val="20"/>
          <w:lang w:val="en-GB" w:eastAsia="hr-HR"/>
        </w:rPr>
      </w:pPr>
    </w:p>
    <w:p w14:paraId="6A8ACAF5" w14:textId="77777777" w:rsidR="002E3531" w:rsidRPr="00CC2F98" w:rsidRDefault="002E3531" w:rsidP="002E3531">
      <w:pPr>
        <w:spacing w:after="0" w:line="240" w:lineRule="auto"/>
        <w:jc w:val="both"/>
        <w:rPr>
          <w:rFonts w:ascii="Arial" w:eastAsia="Calibri" w:hAnsi="Arial" w:cs="Arial"/>
          <w:b/>
          <w:bCs/>
          <w:i/>
          <w:iCs/>
          <w:spacing w:val="-3"/>
          <w:sz w:val="20"/>
          <w:szCs w:val="20"/>
          <w:lang w:val="en-GB"/>
        </w:rPr>
      </w:pPr>
      <w:r w:rsidRPr="00CC2F98">
        <w:rPr>
          <w:rFonts w:ascii="Arial" w:eastAsia="Calibri" w:hAnsi="Arial" w:cs="Arial"/>
          <w:b/>
          <w:bCs/>
          <w:i/>
          <w:iCs/>
          <w:spacing w:val="-3"/>
          <w:sz w:val="20"/>
          <w:szCs w:val="20"/>
          <w:lang w:val="en-GB"/>
        </w:rPr>
        <w:t>Subsidy costs at the expense of HBOR's operations</w:t>
      </w:r>
    </w:p>
    <w:p w14:paraId="69990952" w14:textId="77777777" w:rsidR="002E3531" w:rsidRPr="00CC2F98" w:rsidRDefault="002E3531" w:rsidP="002E3531">
      <w:pPr>
        <w:spacing w:after="0" w:line="240" w:lineRule="auto"/>
        <w:jc w:val="both"/>
        <w:rPr>
          <w:rFonts w:ascii="Arial" w:eastAsia="Calibri" w:hAnsi="Arial" w:cs="Arial"/>
          <w:i/>
          <w:iCs/>
          <w:spacing w:val="-3"/>
          <w:sz w:val="20"/>
          <w:szCs w:val="20"/>
          <w:lang w:val="en-GB"/>
        </w:rPr>
      </w:pPr>
    </w:p>
    <w:p w14:paraId="200E9585" w14:textId="75114F58" w:rsidR="002E3531" w:rsidRDefault="002E3531" w:rsidP="002E3531">
      <w:pPr>
        <w:spacing w:after="0" w:line="240" w:lineRule="auto"/>
        <w:jc w:val="both"/>
        <w:rPr>
          <w:rFonts w:ascii="Arial" w:hAnsi="Arial" w:cs="Arial"/>
          <w:sz w:val="20"/>
          <w:szCs w:val="20"/>
        </w:rPr>
      </w:pPr>
      <w:r w:rsidRPr="000D282D">
        <w:rPr>
          <w:rFonts w:ascii="Arial" w:hAnsi="Arial" w:cs="Arial"/>
          <w:sz w:val="20"/>
          <w:szCs w:val="20"/>
        </w:rPr>
        <w:t xml:space="preserve">Subsidy costs at the expense of HBOR's operations stood at HRK </w:t>
      </w:r>
      <w:r w:rsidR="0075556E">
        <w:rPr>
          <w:rFonts w:ascii="Arial" w:hAnsi="Arial" w:cs="Arial"/>
          <w:sz w:val="20"/>
          <w:szCs w:val="20"/>
        </w:rPr>
        <w:t>6</w:t>
      </w:r>
      <w:r w:rsidRPr="000D282D">
        <w:rPr>
          <w:rFonts w:ascii="Arial" w:hAnsi="Arial" w:cs="Arial"/>
          <w:sz w:val="20"/>
          <w:szCs w:val="20"/>
        </w:rPr>
        <w:t>.</w:t>
      </w:r>
      <w:r w:rsidR="0075556E">
        <w:rPr>
          <w:rFonts w:ascii="Arial" w:hAnsi="Arial" w:cs="Arial"/>
          <w:sz w:val="20"/>
          <w:szCs w:val="20"/>
        </w:rPr>
        <w:t>0</w:t>
      </w:r>
      <w:r w:rsidRPr="000D282D">
        <w:rPr>
          <w:rFonts w:ascii="Arial" w:hAnsi="Arial" w:cs="Arial"/>
          <w:sz w:val="20"/>
          <w:szCs w:val="20"/>
        </w:rPr>
        <w:t xml:space="preserve"> million and are linked with the new product of subsidising interest rates at the expense of HBOR's operations that was introduced in the second half of 2023</w:t>
      </w:r>
      <w:r>
        <w:rPr>
          <w:rFonts w:ascii="Arial" w:hAnsi="Arial" w:cs="Arial"/>
          <w:sz w:val="20"/>
          <w:szCs w:val="20"/>
        </w:rPr>
        <w:t>.</w:t>
      </w:r>
    </w:p>
    <w:p w14:paraId="7BC82FB5" w14:textId="77777777" w:rsidR="002E3531" w:rsidRPr="00927A00" w:rsidRDefault="002E3531" w:rsidP="002E3531">
      <w:pPr>
        <w:spacing w:after="0" w:line="240" w:lineRule="auto"/>
        <w:jc w:val="both"/>
        <w:rPr>
          <w:rFonts w:ascii="Arial" w:eastAsia="Times New Roman" w:hAnsi="Arial" w:cs="Arial"/>
          <w:b/>
          <w:i/>
          <w:spacing w:val="-3"/>
          <w:sz w:val="20"/>
          <w:szCs w:val="20"/>
          <w:lang w:val="en-GB" w:eastAsia="hr-HR"/>
        </w:rPr>
      </w:pPr>
    </w:p>
    <w:p w14:paraId="3AF30341" w14:textId="77777777" w:rsidR="00471ABD" w:rsidRPr="00927A00" w:rsidRDefault="00471ABD" w:rsidP="00B55698">
      <w:pPr>
        <w:spacing w:after="0" w:line="240" w:lineRule="auto"/>
        <w:jc w:val="both"/>
        <w:rPr>
          <w:rFonts w:ascii="Arial" w:eastAsia="Times New Roman" w:hAnsi="Arial" w:cs="Arial"/>
          <w:b/>
          <w:i/>
          <w:sz w:val="20"/>
          <w:szCs w:val="20"/>
          <w:lang w:val="en-GB" w:eastAsia="hr-HR"/>
        </w:rPr>
      </w:pPr>
      <w:r w:rsidRPr="00927A00">
        <w:rPr>
          <w:rFonts w:ascii="Arial" w:eastAsia="Times New Roman" w:hAnsi="Arial" w:cs="Arial"/>
          <w:b/>
          <w:i/>
          <w:spacing w:val="-3"/>
          <w:sz w:val="20"/>
          <w:szCs w:val="20"/>
          <w:lang w:val="en-GB" w:eastAsia="hr-HR"/>
        </w:rPr>
        <w:t>Impairment gain/(loss) and provisions</w:t>
      </w:r>
      <w:r w:rsidRPr="00927A00">
        <w:rPr>
          <w:rFonts w:ascii="Arial" w:eastAsia="Times New Roman" w:hAnsi="Arial" w:cs="Arial"/>
          <w:b/>
          <w:i/>
          <w:sz w:val="20"/>
          <w:szCs w:val="20"/>
          <w:lang w:val="en-GB" w:eastAsia="hr-HR"/>
        </w:rPr>
        <w:t xml:space="preserve"> </w:t>
      </w:r>
    </w:p>
    <w:p w14:paraId="17D0B8DF" w14:textId="77777777" w:rsidR="00BF17D9" w:rsidRPr="00927A00" w:rsidRDefault="00BF17D9" w:rsidP="00B55698">
      <w:pPr>
        <w:spacing w:after="0" w:line="240" w:lineRule="auto"/>
        <w:jc w:val="both"/>
        <w:rPr>
          <w:rFonts w:ascii="Arial" w:eastAsia="Times New Roman" w:hAnsi="Arial" w:cs="Arial"/>
          <w:bCs/>
          <w:iCs/>
          <w:sz w:val="20"/>
          <w:szCs w:val="20"/>
          <w:lang w:val="en-GB" w:eastAsia="hr-HR"/>
        </w:rPr>
      </w:pPr>
    </w:p>
    <w:p w14:paraId="72758F70" w14:textId="213FA889" w:rsidR="005776BF" w:rsidRPr="001B18D1" w:rsidRDefault="005776BF" w:rsidP="005776BF">
      <w:pPr>
        <w:spacing w:after="0" w:line="240" w:lineRule="auto"/>
        <w:jc w:val="both"/>
        <w:rPr>
          <w:rFonts w:ascii="Arial" w:hAnsi="Arial" w:cs="Arial"/>
          <w:spacing w:val="-3"/>
          <w:sz w:val="20"/>
          <w:szCs w:val="20"/>
          <w:lang w:val="en-GB"/>
        </w:rPr>
      </w:pPr>
      <w:r w:rsidRPr="001B18D1">
        <w:rPr>
          <w:rFonts w:ascii="Arial" w:hAnsi="Arial" w:cs="Arial"/>
          <w:sz w:val="20"/>
          <w:szCs w:val="20"/>
          <w:lang w:val="en-US"/>
        </w:rPr>
        <w:t xml:space="preserve">In the reporting period, a net gain from impairment of placements in the amount of </w:t>
      </w:r>
      <w:r>
        <w:rPr>
          <w:rFonts w:ascii="Arial" w:hAnsi="Arial" w:cs="Arial"/>
          <w:sz w:val="20"/>
          <w:szCs w:val="20"/>
          <w:lang w:val="en-US"/>
        </w:rPr>
        <w:t xml:space="preserve">EUR </w:t>
      </w:r>
      <w:r w:rsidR="006A6C90">
        <w:rPr>
          <w:rFonts w:ascii="Arial" w:hAnsi="Arial" w:cs="Arial"/>
          <w:sz w:val="20"/>
          <w:szCs w:val="20"/>
          <w:lang w:val="en-US"/>
        </w:rPr>
        <w:t>3</w:t>
      </w:r>
      <w:r w:rsidR="00083232">
        <w:rPr>
          <w:rFonts w:ascii="Arial" w:hAnsi="Arial" w:cs="Arial"/>
          <w:sz w:val="20"/>
          <w:szCs w:val="20"/>
          <w:lang w:val="en-US"/>
        </w:rPr>
        <w:t>5.3</w:t>
      </w:r>
      <w:r w:rsidRPr="001B18D1">
        <w:rPr>
          <w:rFonts w:ascii="Arial" w:hAnsi="Arial" w:cs="Arial"/>
          <w:sz w:val="20"/>
          <w:szCs w:val="20"/>
          <w:lang w:val="en-US"/>
        </w:rPr>
        <w:t xml:space="preserve"> million was recorded (in the period 1 January – 3</w:t>
      </w:r>
      <w:r w:rsidR="00762463">
        <w:rPr>
          <w:rFonts w:ascii="Arial" w:hAnsi="Arial" w:cs="Arial"/>
          <w:sz w:val="20"/>
          <w:szCs w:val="20"/>
          <w:lang w:val="en-US"/>
        </w:rPr>
        <w:t>0</w:t>
      </w:r>
      <w:r w:rsidRPr="001B18D1">
        <w:rPr>
          <w:rFonts w:ascii="Arial" w:hAnsi="Arial" w:cs="Arial"/>
          <w:sz w:val="20"/>
          <w:szCs w:val="20"/>
          <w:lang w:val="en-US"/>
        </w:rPr>
        <w:t xml:space="preserve"> </w:t>
      </w:r>
      <w:r w:rsidR="00762463">
        <w:rPr>
          <w:rFonts w:ascii="Arial" w:hAnsi="Arial" w:cs="Arial"/>
          <w:sz w:val="20"/>
          <w:szCs w:val="20"/>
          <w:lang w:val="en-US"/>
        </w:rPr>
        <w:t>June</w:t>
      </w:r>
      <w:r w:rsidRPr="001B18D1">
        <w:rPr>
          <w:rFonts w:ascii="Arial" w:hAnsi="Arial" w:cs="Arial"/>
          <w:sz w:val="20"/>
          <w:szCs w:val="20"/>
          <w:lang w:val="en-US"/>
        </w:rPr>
        <w:t xml:space="preserve"> 202</w:t>
      </w:r>
      <w:r w:rsidR="006A6C90">
        <w:rPr>
          <w:rFonts w:ascii="Arial" w:hAnsi="Arial" w:cs="Arial"/>
          <w:sz w:val="20"/>
          <w:szCs w:val="20"/>
          <w:lang w:val="en-US"/>
        </w:rPr>
        <w:t>4</w:t>
      </w:r>
      <w:r w:rsidRPr="001B18D1">
        <w:rPr>
          <w:rFonts w:ascii="Arial" w:hAnsi="Arial" w:cs="Arial"/>
          <w:sz w:val="20"/>
          <w:szCs w:val="20"/>
          <w:lang w:val="en-US"/>
        </w:rPr>
        <w:t xml:space="preserve">: net gain in the amount of </w:t>
      </w:r>
      <w:r>
        <w:rPr>
          <w:rFonts w:ascii="Arial" w:hAnsi="Arial" w:cs="Arial"/>
          <w:sz w:val="20"/>
          <w:szCs w:val="20"/>
          <w:lang w:val="en-US"/>
        </w:rPr>
        <w:t xml:space="preserve">EUR </w:t>
      </w:r>
      <w:r w:rsidR="006A6C90">
        <w:rPr>
          <w:rFonts w:ascii="Arial" w:hAnsi="Arial" w:cs="Arial"/>
          <w:sz w:val="20"/>
          <w:szCs w:val="20"/>
          <w:lang w:val="en-US"/>
        </w:rPr>
        <w:t>15.3</w:t>
      </w:r>
      <w:r w:rsidRPr="001B18D1">
        <w:rPr>
          <w:rFonts w:ascii="Arial" w:hAnsi="Arial" w:cs="Arial"/>
          <w:sz w:val="20"/>
          <w:szCs w:val="20"/>
          <w:lang w:val="en-US"/>
        </w:rPr>
        <w:t xml:space="preserve"> million)</w:t>
      </w:r>
      <w:r w:rsidRPr="001B18D1">
        <w:rPr>
          <w:rFonts w:ascii="Arial" w:hAnsi="Arial" w:cs="Arial"/>
          <w:spacing w:val="-3"/>
          <w:sz w:val="20"/>
          <w:szCs w:val="20"/>
          <w:lang w:val="en-GB" w:eastAsia="hr-HR"/>
        </w:rPr>
        <w:t>.</w:t>
      </w:r>
    </w:p>
    <w:p w14:paraId="24FDF6B0" w14:textId="366E3B7B" w:rsidR="00B55698" w:rsidRPr="00927A00" w:rsidRDefault="00B55698" w:rsidP="00B55698">
      <w:pPr>
        <w:spacing w:after="0" w:line="240" w:lineRule="auto"/>
        <w:jc w:val="both"/>
        <w:rPr>
          <w:rFonts w:ascii="Arial" w:hAnsi="Arial" w:cs="Arial"/>
          <w:sz w:val="20"/>
          <w:szCs w:val="20"/>
          <w:lang w:val="en-US"/>
        </w:rPr>
      </w:pPr>
    </w:p>
    <w:p w14:paraId="5D9362A5" w14:textId="77777777" w:rsidR="00475F6F" w:rsidRDefault="00475F6F" w:rsidP="007B069A">
      <w:pPr>
        <w:tabs>
          <w:tab w:val="left" w:pos="-720"/>
        </w:tabs>
        <w:spacing w:after="0" w:line="240" w:lineRule="auto"/>
        <w:jc w:val="both"/>
        <w:rPr>
          <w:rFonts w:cstheme="minorHAnsi"/>
          <w:spacing w:val="-3"/>
          <w:sz w:val="24"/>
          <w:szCs w:val="24"/>
          <w:lang w:val="en-GB"/>
        </w:rPr>
        <w:sectPr w:rsidR="00475F6F">
          <w:footerReference w:type="default" r:id="rId33"/>
          <w:pgSz w:w="11906" w:h="16838"/>
          <w:pgMar w:top="1417" w:right="1417" w:bottom="1417" w:left="1417" w:header="708" w:footer="708" w:gutter="0"/>
          <w:cols w:space="708"/>
          <w:docGrid w:linePitch="360"/>
        </w:sectPr>
      </w:pPr>
    </w:p>
    <w:p w14:paraId="737AA70A" w14:textId="75FF48A9" w:rsidR="00081940" w:rsidRPr="005B0A31" w:rsidRDefault="00081940" w:rsidP="007B069A">
      <w:pPr>
        <w:tabs>
          <w:tab w:val="left" w:pos="-720"/>
        </w:tabs>
        <w:spacing w:after="0" w:line="240" w:lineRule="auto"/>
        <w:jc w:val="both"/>
        <w:rPr>
          <w:rFonts w:cstheme="minorHAnsi"/>
          <w:spacing w:val="-3"/>
          <w:sz w:val="24"/>
          <w:szCs w:val="24"/>
          <w:lang w:val="en-GB"/>
        </w:rPr>
      </w:pPr>
    </w:p>
    <w:p w14:paraId="5AFA71BB" w14:textId="77777777" w:rsidR="00BF17D9" w:rsidRPr="00927A00" w:rsidRDefault="004037B0" w:rsidP="00BF17D9">
      <w:pPr>
        <w:tabs>
          <w:tab w:val="left" w:pos="-720"/>
        </w:tabs>
        <w:spacing w:after="0" w:line="240" w:lineRule="auto"/>
        <w:jc w:val="both"/>
        <w:rPr>
          <w:rFonts w:ascii="Arial" w:hAnsi="Arial" w:cs="Arial"/>
          <w:spacing w:val="-3"/>
          <w:sz w:val="20"/>
          <w:szCs w:val="20"/>
          <w:lang w:val="en-GB"/>
        </w:rPr>
      </w:pPr>
      <w:r w:rsidRPr="00927A00">
        <w:rPr>
          <w:rFonts w:ascii="Arial" w:hAnsi="Arial" w:cs="Arial"/>
          <w:spacing w:val="-3"/>
          <w:sz w:val="20"/>
          <w:szCs w:val="20"/>
          <w:lang w:val="en-GB"/>
        </w:rPr>
        <w:t>The text to follow contains a breakdown of portfolio quality</w:t>
      </w:r>
      <w:r w:rsidR="00BF17D9" w:rsidRPr="00927A00">
        <w:rPr>
          <w:rFonts w:ascii="Arial" w:hAnsi="Arial" w:cs="Arial"/>
          <w:spacing w:val="-3"/>
          <w:sz w:val="20"/>
          <w:szCs w:val="20"/>
          <w:lang w:val="en-GB"/>
        </w:rPr>
        <w:t>:</w:t>
      </w:r>
      <w:r w:rsidR="008C05EC" w:rsidRPr="00927A00">
        <w:rPr>
          <w:rFonts w:ascii="Arial" w:hAnsi="Arial" w:cs="Arial"/>
          <w:sz w:val="20"/>
          <w:szCs w:val="20"/>
          <w:lang w:val="en-GB" w:eastAsia="hr-HR"/>
        </w:rPr>
        <w:t xml:space="preserve"> </w:t>
      </w:r>
    </w:p>
    <w:p w14:paraId="54E9FA42" w14:textId="77777777" w:rsidR="005B58C5" w:rsidRPr="005B0A31" w:rsidRDefault="005B58C5" w:rsidP="00BF17D9">
      <w:pPr>
        <w:tabs>
          <w:tab w:val="left" w:pos="-720"/>
        </w:tabs>
        <w:suppressAutoHyphens/>
        <w:spacing w:after="0" w:line="240" w:lineRule="auto"/>
        <w:jc w:val="both"/>
        <w:rPr>
          <w:sz w:val="24"/>
          <w:szCs w:val="24"/>
          <w:lang w:val="en-GB"/>
        </w:rPr>
      </w:pPr>
    </w:p>
    <w:p w14:paraId="2F32A253" w14:textId="79BC96C9" w:rsidR="00A60DAD" w:rsidRPr="00AB7A2D" w:rsidRDefault="000A39B5" w:rsidP="00AB7A2D">
      <w:pPr>
        <w:tabs>
          <w:tab w:val="left" w:pos="426"/>
          <w:tab w:val="left" w:pos="4536"/>
        </w:tabs>
        <w:spacing w:after="0" w:line="240" w:lineRule="auto"/>
        <w:ind w:left="-284" w:right="-285"/>
        <w:jc w:val="both"/>
        <w:rPr>
          <w:rFonts w:eastAsia="Times New Roman" w:cs="Calibri"/>
          <w:b/>
          <w:noProof/>
          <w:spacing w:val="-3"/>
          <w:sz w:val="24"/>
          <w:szCs w:val="24"/>
          <w:lang w:eastAsia="hr-HR"/>
        </w:rPr>
      </w:pPr>
      <w:r>
        <w:rPr>
          <w:rFonts w:eastAsia="Times New Roman" w:cs="Calibri"/>
          <w:b/>
          <w:noProof/>
          <w:spacing w:val="-3"/>
          <w:sz w:val="24"/>
          <w:szCs w:val="24"/>
          <w:lang w:eastAsia="hr-HR"/>
        </w:rPr>
        <w:drawing>
          <wp:inline distT="0" distB="0" distL="0" distR="0" wp14:anchorId="5CD93BE4" wp14:editId="2A0D0617">
            <wp:extent cx="2946400" cy="2733901"/>
            <wp:effectExtent l="0" t="0" r="6350" b="9525"/>
            <wp:docPr id="77646177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5471" cy="2742318"/>
                    </a:xfrm>
                    <a:prstGeom prst="rect">
                      <a:avLst/>
                    </a:prstGeom>
                    <a:noFill/>
                  </pic:spPr>
                </pic:pic>
              </a:graphicData>
            </a:graphic>
          </wp:inline>
        </w:drawing>
      </w:r>
      <w:r w:rsidR="00882183" w:rsidRPr="00AB7A2D">
        <w:rPr>
          <w:rFonts w:eastAsia="Times New Roman" w:cs="Calibri"/>
          <w:b/>
          <w:noProof/>
          <w:spacing w:val="-3"/>
          <w:sz w:val="24"/>
          <w:szCs w:val="24"/>
          <w:lang w:eastAsia="hr-HR"/>
        </w:rPr>
        <w:t xml:space="preserve">   </w:t>
      </w:r>
      <w:r>
        <w:rPr>
          <w:rFonts w:eastAsia="Times New Roman" w:cs="Calibri"/>
          <w:b/>
          <w:noProof/>
          <w:spacing w:val="-3"/>
          <w:sz w:val="24"/>
          <w:szCs w:val="24"/>
          <w:lang w:eastAsia="hr-HR"/>
        </w:rPr>
        <w:drawing>
          <wp:inline distT="0" distB="0" distL="0" distR="0" wp14:anchorId="2906C092" wp14:editId="7C917609">
            <wp:extent cx="2993575" cy="2744470"/>
            <wp:effectExtent l="0" t="0" r="0" b="0"/>
            <wp:docPr id="153985208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04816" cy="2754775"/>
                    </a:xfrm>
                    <a:prstGeom prst="rect">
                      <a:avLst/>
                    </a:prstGeom>
                    <a:noFill/>
                  </pic:spPr>
                </pic:pic>
              </a:graphicData>
            </a:graphic>
          </wp:inline>
        </w:drawing>
      </w:r>
    </w:p>
    <w:p w14:paraId="4669B4C4" w14:textId="63F2ABF2" w:rsidR="00223DA7" w:rsidRDefault="00E43402" w:rsidP="00AB7A2D">
      <w:pPr>
        <w:tabs>
          <w:tab w:val="left" w:pos="426"/>
          <w:tab w:val="left" w:pos="4536"/>
        </w:tabs>
        <w:spacing w:after="0" w:line="240" w:lineRule="auto"/>
        <w:ind w:left="-284" w:right="-285"/>
        <w:jc w:val="both"/>
        <w:rPr>
          <w:rFonts w:eastAsia="Times New Roman" w:cs="Calibri"/>
          <w:b/>
          <w:spacing w:val="-3"/>
          <w:sz w:val="24"/>
          <w:szCs w:val="24"/>
          <w:lang w:val="en-GB" w:eastAsia="hr-HR"/>
        </w:rPr>
      </w:pPr>
      <w:r w:rsidRPr="00AB7A2D">
        <w:rPr>
          <w:rFonts w:eastAsia="Times New Roman" w:cs="Calibri"/>
          <w:b/>
          <w:noProof/>
          <w:spacing w:val="-3"/>
          <w:sz w:val="24"/>
          <w:szCs w:val="24"/>
          <w:lang w:eastAsia="hr-HR"/>
        </w:rPr>
        <w:t xml:space="preserve">  </w:t>
      </w:r>
    </w:p>
    <w:p w14:paraId="5A7B6F88" w14:textId="54A79700" w:rsidR="009C75D1" w:rsidRDefault="009C75D1" w:rsidP="009C75D1">
      <w:pPr>
        <w:spacing w:before="120" w:after="120" w:line="23" w:lineRule="atLeast"/>
        <w:rPr>
          <w:rFonts w:ascii="Arial" w:eastAsia="SimSun" w:hAnsi="Arial" w:cs="Arial"/>
          <w:b/>
          <w:bCs/>
          <w:sz w:val="20"/>
          <w:szCs w:val="20"/>
        </w:rPr>
      </w:pPr>
      <w:r w:rsidRPr="009A58D2">
        <w:rPr>
          <w:rFonts w:ascii="Arial" w:eastAsia="SimSun" w:hAnsi="Arial" w:cs="Arial"/>
          <w:b/>
          <w:bCs/>
          <w:sz w:val="20"/>
          <w:szCs w:val="20"/>
        </w:rPr>
        <w:t>Overview of total gross portfolio and provisions by structure – financial institutions and direct</w:t>
      </w:r>
    </w:p>
    <w:p w14:paraId="369C84A8" w14:textId="77777777" w:rsidR="00A62695" w:rsidRPr="009A58D2" w:rsidRDefault="00A62695" w:rsidP="009C75D1">
      <w:pPr>
        <w:spacing w:before="120" w:after="120" w:line="23" w:lineRule="atLeast"/>
        <w:rPr>
          <w:rFonts w:ascii="Arial" w:eastAsia="SimSun" w:hAnsi="Arial" w:cs="Arial"/>
          <w:b/>
          <w:bCs/>
          <w:sz w:val="20"/>
          <w:szCs w:val="20"/>
        </w:rPr>
      </w:pPr>
    </w:p>
    <w:tbl>
      <w:tblPr>
        <w:tblW w:w="9390" w:type="dxa"/>
        <w:tblInd w:w="-174" w:type="dxa"/>
        <w:tblLayout w:type="fixed"/>
        <w:tblLook w:val="04A0" w:firstRow="1" w:lastRow="0" w:firstColumn="1" w:lastColumn="0" w:noHBand="0" w:noVBand="1"/>
      </w:tblPr>
      <w:tblGrid>
        <w:gridCol w:w="2835"/>
        <w:gridCol w:w="1735"/>
        <w:gridCol w:w="1702"/>
        <w:gridCol w:w="1559"/>
        <w:gridCol w:w="1559"/>
      </w:tblGrid>
      <w:tr w:rsidR="00B41E61" w:rsidRPr="003C7407" w14:paraId="0B35A43E" w14:textId="77777777" w:rsidTr="00CE3A9A">
        <w:trPr>
          <w:trHeight w:val="420"/>
        </w:trPr>
        <w:tc>
          <w:tcPr>
            <w:tcW w:w="2835" w:type="dxa"/>
            <w:tcBorders>
              <w:left w:val="single" w:sz="4" w:space="0" w:color="auto"/>
              <w:bottom w:val="single" w:sz="4" w:space="0" w:color="auto"/>
            </w:tcBorders>
            <w:shd w:val="clear" w:color="auto" w:fill="595959"/>
            <w:vAlign w:val="center"/>
            <w:hideMark/>
          </w:tcPr>
          <w:p w14:paraId="26D3C65B" w14:textId="77777777" w:rsidR="00B41E61" w:rsidRPr="003C7407" w:rsidRDefault="00B41E61" w:rsidP="00CE3A9A">
            <w:pPr>
              <w:spacing w:after="160"/>
              <w:rPr>
                <w:rFonts w:ascii="Arial" w:hAnsi="Arial" w:cs="Arial"/>
                <w:b/>
                <w:i/>
                <w:spacing w:val="-3"/>
                <w:sz w:val="20"/>
                <w:szCs w:val="20"/>
                <w:lang w:eastAsia="hr-HR"/>
              </w:rPr>
            </w:pPr>
          </w:p>
        </w:tc>
        <w:tc>
          <w:tcPr>
            <w:tcW w:w="3437" w:type="dxa"/>
            <w:gridSpan w:val="2"/>
            <w:tcBorders>
              <w:bottom w:val="single" w:sz="4" w:space="0" w:color="auto"/>
            </w:tcBorders>
            <w:shd w:val="clear" w:color="auto" w:fill="595959"/>
            <w:vAlign w:val="center"/>
            <w:hideMark/>
          </w:tcPr>
          <w:p w14:paraId="256D6641" w14:textId="0B52A698"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202</w:t>
            </w:r>
            <w:r w:rsidR="00F030B9">
              <w:rPr>
                <w:rFonts w:ascii="Arial" w:hAnsi="Arial" w:cs="Arial"/>
                <w:b/>
                <w:bCs/>
                <w:color w:val="FFFFFF"/>
                <w:sz w:val="20"/>
                <w:szCs w:val="20"/>
                <w:lang w:val="en-GB" w:eastAsia="hr-HR"/>
              </w:rPr>
              <w:t>4</w:t>
            </w:r>
          </w:p>
        </w:tc>
        <w:tc>
          <w:tcPr>
            <w:tcW w:w="3118" w:type="dxa"/>
            <w:gridSpan w:val="2"/>
            <w:tcBorders>
              <w:bottom w:val="single" w:sz="4" w:space="0" w:color="auto"/>
              <w:right w:val="single" w:sz="4" w:space="0" w:color="auto"/>
            </w:tcBorders>
            <w:shd w:val="clear" w:color="auto" w:fill="595959"/>
            <w:vAlign w:val="center"/>
            <w:hideMark/>
          </w:tcPr>
          <w:p w14:paraId="70F8933E" w14:textId="7E3FDED5" w:rsidR="00B41E61" w:rsidRPr="003C7407" w:rsidRDefault="00490057" w:rsidP="00CE3A9A">
            <w:pPr>
              <w:spacing w:after="0"/>
              <w:jc w:val="center"/>
              <w:rPr>
                <w:rFonts w:ascii="Arial" w:hAnsi="Arial" w:cs="Arial"/>
                <w:b/>
                <w:bCs/>
                <w:color w:val="FFFFFF"/>
                <w:sz w:val="20"/>
                <w:szCs w:val="20"/>
                <w:lang w:val="en-GB" w:eastAsia="hr-HR"/>
              </w:rPr>
            </w:pPr>
            <w:r>
              <w:rPr>
                <w:rFonts w:ascii="Arial" w:hAnsi="Arial" w:cs="Arial"/>
                <w:b/>
                <w:bCs/>
                <w:color w:val="FFFFFF"/>
                <w:sz w:val="20"/>
                <w:szCs w:val="20"/>
                <w:lang w:val="en-GB" w:eastAsia="hr-HR"/>
              </w:rPr>
              <w:t>Jun</w:t>
            </w:r>
            <w:r w:rsidR="00B41E61" w:rsidRPr="003C7407">
              <w:rPr>
                <w:rFonts w:ascii="Arial" w:hAnsi="Arial" w:cs="Arial"/>
                <w:b/>
                <w:bCs/>
                <w:color w:val="FFFFFF"/>
                <w:sz w:val="20"/>
                <w:szCs w:val="20"/>
                <w:lang w:val="en-GB" w:eastAsia="hr-HR"/>
              </w:rPr>
              <w:t xml:space="preserve"> 3</w:t>
            </w:r>
            <w:r>
              <w:rPr>
                <w:rFonts w:ascii="Arial" w:hAnsi="Arial" w:cs="Arial"/>
                <w:b/>
                <w:bCs/>
                <w:color w:val="FFFFFF"/>
                <w:sz w:val="20"/>
                <w:szCs w:val="20"/>
                <w:lang w:val="en-GB" w:eastAsia="hr-HR"/>
              </w:rPr>
              <w:t>0</w:t>
            </w:r>
            <w:r w:rsidR="00B41E61" w:rsidRPr="003C7407">
              <w:rPr>
                <w:rFonts w:ascii="Arial" w:hAnsi="Arial" w:cs="Arial"/>
                <w:b/>
                <w:bCs/>
                <w:color w:val="FFFFFF"/>
                <w:sz w:val="20"/>
                <w:szCs w:val="20"/>
                <w:lang w:val="en-GB" w:eastAsia="hr-HR"/>
              </w:rPr>
              <w:t>, 202</w:t>
            </w:r>
            <w:r w:rsidR="00F030B9">
              <w:rPr>
                <w:rFonts w:ascii="Arial" w:hAnsi="Arial" w:cs="Arial"/>
                <w:b/>
                <w:bCs/>
                <w:color w:val="FFFFFF"/>
                <w:sz w:val="20"/>
                <w:szCs w:val="20"/>
                <w:lang w:val="en-GB" w:eastAsia="hr-HR"/>
              </w:rPr>
              <w:t>5</w:t>
            </w:r>
          </w:p>
        </w:tc>
      </w:tr>
      <w:tr w:rsidR="00B41E61" w:rsidRPr="003C7407" w14:paraId="48CD6B15" w14:textId="77777777" w:rsidTr="000930D6">
        <w:trPr>
          <w:trHeight w:val="776"/>
        </w:trPr>
        <w:tc>
          <w:tcPr>
            <w:tcW w:w="2835" w:type="dxa"/>
            <w:tcBorders>
              <w:top w:val="single" w:sz="4" w:space="0" w:color="auto"/>
              <w:left w:val="single" w:sz="4" w:space="0" w:color="auto"/>
              <w:bottom w:val="single" w:sz="4" w:space="0" w:color="auto"/>
            </w:tcBorders>
            <w:shd w:val="clear" w:color="auto" w:fill="595959"/>
            <w:vAlign w:val="center"/>
            <w:hideMark/>
          </w:tcPr>
          <w:p w14:paraId="23EA9599" w14:textId="77777777" w:rsidR="00B41E61" w:rsidRPr="003C7407" w:rsidRDefault="00B41E61" w:rsidP="00CE3A9A">
            <w:pPr>
              <w:spacing w:after="160"/>
              <w:rPr>
                <w:rFonts w:ascii="Arial" w:hAnsi="Arial" w:cs="Arial"/>
                <w:b/>
                <w:bCs/>
                <w:color w:val="000000"/>
                <w:sz w:val="20"/>
                <w:szCs w:val="20"/>
                <w:lang w:val="en-GB" w:eastAsia="hr-HR"/>
              </w:rPr>
            </w:pPr>
          </w:p>
        </w:tc>
        <w:tc>
          <w:tcPr>
            <w:tcW w:w="1735" w:type="dxa"/>
            <w:tcBorders>
              <w:top w:val="single" w:sz="4" w:space="0" w:color="auto"/>
              <w:bottom w:val="single" w:sz="4" w:space="0" w:color="auto"/>
            </w:tcBorders>
            <w:shd w:val="clear" w:color="auto" w:fill="595959"/>
            <w:vAlign w:val="center"/>
            <w:hideMark/>
          </w:tcPr>
          <w:p w14:paraId="7979D576"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In million</w:t>
            </w:r>
            <w:r>
              <w:rPr>
                <w:rFonts w:ascii="Arial" w:hAnsi="Arial" w:cs="Arial"/>
                <w:b/>
                <w:bCs/>
                <w:color w:val="FFFFFF"/>
                <w:sz w:val="20"/>
                <w:szCs w:val="20"/>
                <w:lang w:val="en-GB" w:eastAsia="hr-HR"/>
              </w:rPr>
              <w:t>s of euros</w:t>
            </w:r>
          </w:p>
        </w:tc>
        <w:tc>
          <w:tcPr>
            <w:tcW w:w="1702" w:type="dxa"/>
            <w:tcBorders>
              <w:top w:val="single" w:sz="4" w:space="0" w:color="auto"/>
              <w:bottom w:val="single" w:sz="4" w:space="0" w:color="auto"/>
            </w:tcBorders>
            <w:shd w:val="clear" w:color="auto" w:fill="595959"/>
            <w:vAlign w:val="center"/>
            <w:hideMark/>
          </w:tcPr>
          <w:p w14:paraId="51FF09A0"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Breakdown</w:t>
            </w:r>
          </w:p>
          <w:p w14:paraId="40211F68"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(percent)</w:t>
            </w:r>
          </w:p>
        </w:tc>
        <w:tc>
          <w:tcPr>
            <w:tcW w:w="1559" w:type="dxa"/>
            <w:tcBorders>
              <w:top w:val="single" w:sz="4" w:space="0" w:color="auto"/>
              <w:bottom w:val="single" w:sz="4" w:space="0" w:color="auto"/>
            </w:tcBorders>
            <w:shd w:val="clear" w:color="auto" w:fill="595959"/>
            <w:vAlign w:val="center"/>
            <w:hideMark/>
          </w:tcPr>
          <w:p w14:paraId="51BEC248"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In million</w:t>
            </w:r>
            <w:r>
              <w:rPr>
                <w:rFonts w:ascii="Arial" w:hAnsi="Arial" w:cs="Arial"/>
                <w:b/>
                <w:bCs/>
                <w:color w:val="FFFFFF"/>
                <w:sz w:val="20"/>
                <w:szCs w:val="20"/>
                <w:lang w:val="en-GB" w:eastAsia="hr-HR"/>
              </w:rPr>
              <w:t>s of euros</w:t>
            </w:r>
          </w:p>
        </w:tc>
        <w:tc>
          <w:tcPr>
            <w:tcW w:w="1559" w:type="dxa"/>
            <w:tcBorders>
              <w:top w:val="single" w:sz="4" w:space="0" w:color="auto"/>
              <w:bottom w:val="single" w:sz="4" w:space="0" w:color="auto"/>
              <w:right w:val="single" w:sz="4" w:space="0" w:color="auto"/>
            </w:tcBorders>
            <w:shd w:val="clear" w:color="auto" w:fill="595959"/>
            <w:vAlign w:val="center"/>
            <w:hideMark/>
          </w:tcPr>
          <w:p w14:paraId="1E301468"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Breakdown</w:t>
            </w:r>
          </w:p>
          <w:p w14:paraId="358BA1DD" w14:textId="77777777" w:rsidR="00B41E61" w:rsidRPr="003C7407" w:rsidRDefault="00B41E61" w:rsidP="00CE3A9A">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(percent)</w:t>
            </w:r>
          </w:p>
        </w:tc>
      </w:tr>
      <w:tr w:rsidR="000930D6" w:rsidRPr="003C7407" w14:paraId="005DB79C" w14:textId="77777777" w:rsidTr="000930D6">
        <w:trPr>
          <w:trHeight w:val="475"/>
        </w:trPr>
        <w:tc>
          <w:tcPr>
            <w:tcW w:w="2835" w:type="dxa"/>
            <w:tcBorders>
              <w:top w:val="single" w:sz="4" w:space="0" w:color="auto"/>
              <w:left w:val="single" w:sz="4" w:space="0" w:color="auto"/>
              <w:bottom w:val="single" w:sz="4" w:space="0" w:color="auto"/>
              <w:right w:val="single" w:sz="4" w:space="0" w:color="auto"/>
            </w:tcBorders>
            <w:vAlign w:val="center"/>
            <w:hideMark/>
          </w:tcPr>
          <w:p w14:paraId="0B91EFA1" w14:textId="77777777" w:rsidR="000930D6" w:rsidRPr="003C7407" w:rsidRDefault="000930D6" w:rsidP="000930D6">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Total gross portfolio</w:t>
            </w:r>
          </w:p>
        </w:tc>
        <w:tc>
          <w:tcPr>
            <w:tcW w:w="1735" w:type="dxa"/>
            <w:tcBorders>
              <w:top w:val="single" w:sz="4" w:space="0" w:color="auto"/>
              <w:left w:val="single" w:sz="4" w:space="0" w:color="auto"/>
              <w:bottom w:val="single" w:sz="4" w:space="0" w:color="auto"/>
              <w:right w:val="single" w:sz="4" w:space="0" w:color="auto"/>
            </w:tcBorders>
            <w:vAlign w:val="center"/>
          </w:tcPr>
          <w:p w14:paraId="78A2B5A6" w14:textId="6FD0E344" w:rsidR="000930D6" w:rsidRPr="00A5792A" w:rsidRDefault="000930D6" w:rsidP="000930D6">
            <w:pPr>
              <w:spacing w:after="0"/>
              <w:jc w:val="right"/>
              <w:rPr>
                <w:rFonts w:ascii="Arial" w:eastAsia="Calibri" w:hAnsi="Arial" w:cs="Arial"/>
                <w:b/>
                <w:bCs/>
                <w:color w:val="000000"/>
                <w:sz w:val="20"/>
                <w:szCs w:val="20"/>
                <w:lang w:val="en-GB"/>
              </w:rPr>
            </w:pPr>
            <w:r w:rsidRPr="00A5792A">
              <w:rPr>
                <w:rFonts w:ascii="Arial" w:eastAsia="SimSun" w:hAnsi="Arial" w:cs="Arial"/>
                <w:b/>
                <w:bCs/>
                <w:sz w:val="20"/>
                <w:szCs w:val="20"/>
              </w:rPr>
              <w:t>4,9</w:t>
            </w:r>
            <w:r w:rsidR="003F1150" w:rsidRPr="00A5792A">
              <w:rPr>
                <w:rFonts w:ascii="Arial" w:eastAsia="SimSun" w:hAnsi="Arial" w:cs="Arial"/>
                <w:b/>
                <w:bCs/>
                <w:sz w:val="20"/>
                <w:szCs w:val="20"/>
              </w:rPr>
              <w:t>92</w:t>
            </w:r>
            <w:r w:rsidRPr="00A5792A">
              <w:rPr>
                <w:rFonts w:ascii="Arial" w:eastAsia="SimSun" w:hAnsi="Arial" w:cs="Arial"/>
                <w:b/>
                <w:bCs/>
                <w:sz w:val="20"/>
                <w:szCs w:val="20"/>
              </w:rPr>
              <w:t>.</w:t>
            </w:r>
            <w:r w:rsidR="003F1150" w:rsidRPr="00A5792A">
              <w:rPr>
                <w:rFonts w:ascii="Arial" w:eastAsia="SimSun" w:hAnsi="Arial" w:cs="Arial"/>
                <w:b/>
                <w:bCs/>
                <w:sz w:val="20"/>
                <w:szCs w:val="20"/>
              </w:rPr>
              <w:t>7</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51F8A0F" w14:textId="3B9CEAB1" w:rsidR="000930D6" w:rsidRPr="00A5792A" w:rsidRDefault="000930D6" w:rsidP="000930D6">
            <w:pPr>
              <w:spacing w:after="0"/>
              <w:jc w:val="center"/>
              <w:rPr>
                <w:rFonts w:ascii="Arial" w:eastAsia="Calibri" w:hAnsi="Arial" w:cs="Arial"/>
                <w:b/>
                <w:bCs/>
                <w:color w:val="000000"/>
                <w:sz w:val="20"/>
                <w:szCs w:val="20"/>
                <w:lang w:val="en-GB"/>
              </w:rPr>
            </w:pPr>
            <w:r w:rsidRPr="00A5792A">
              <w:rPr>
                <w:rFonts w:ascii="Arial" w:eastAsia="SimSun" w:hAnsi="Arial" w:cs="Arial"/>
                <w:b/>
                <w:bCs/>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14:paraId="76001286" w14:textId="0A798B71" w:rsidR="000930D6" w:rsidRPr="003C7407" w:rsidRDefault="009C08AB" w:rsidP="000930D6">
            <w:pPr>
              <w:spacing w:after="0"/>
              <w:jc w:val="right"/>
              <w:rPr>
                <w:rFonts w:ascii="Arial" w:eastAsia="Calibri" w:hAnsi="Arial" w:cs="Arial"/>
                <w:b/>
                <w:bCs/>
                <w:color w:val="000000"/>
                <w:sz w:val="20"/>
                <w:szCs w:val="20"/>
                <w:lang w:val="en-GB"/>
              </w:rPr>
            </w:pPr>
            <w:r>
              <w:rPr>
                <w:rFonts w:ascii="Arial" w:hAnsi="Arial" w:cs="Arial"/>
                <w:b/>
                <w:bCs/>
                <w:sz w:val="20"/>
                <w:szCs w:val="20"/>
              </w:rPr>
              <w:t>4</w:t>
            </w:r>
            <w:r w:rsidR="000930D6">
              <w:rPr>
                <w:rFonts w:ascii="Arial" w:hAnsi="Arial" w:cs="Arial"/>
                <w:b/>
                <w:bCs/>
                <w:sz w:val="20"/>
                <w:szCs w:val="20"/>
              </w:rPr>
              <w:t>,</w:t>
            </w:r>
            <w:r>
              <w:rPr>
                <w:rFonts w:ascii="Arial" w:hAnsi="Arial" w:cs="Arial"/>
                <w:b/>
                <w:bCs/>
                <w:sz w:val="20"/>
                <w:szCs w:val="20"/>
              </w:rPr>
              <w:t>975</w:t>
            </w:r>
            <w:r w:rsidR="000930D6">
              <w:rPr>
                <w:rFonts w:ascii="Arial" w:hAnsi="Arial" w:cs="Arial"/>
                <w:b/>
                <w:bCs/>
                <w:sz w:val="20"/>
                <w:szCs w:val="20"/>
              </w:rPr>
              <w:t>.</w:t>
            </w:r>
            <w:r w:rsidR="009F1572">
              <w:rPr>
                <w:rFonts w:ascii="Arial" w:hAnsi="Arial" w:cs="Arial"/>
                <w:b/>
                <w:bCs/>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D39DE8" w14:textId="0DE45E19" w:rsidR="000930D6" w:rsidRPr="003C7407" w:rsidRDefault="000930D6" w:rsidP="000930D6">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w:t>
            </w:r>
          </w:p>
        </w:tc>
      </w:tr>
      <w:tr w:rsidR="000930D6" w:rsidRPr="003C7407" w14:paraId="5B541617" w14:textId="77777777" w:rsidTr="000930D6">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14:paraId="2659858F" w14:textId="77777777" w:rsidR="000930D6" w:rsidRPr="003C7407" w:rsidRDefault="000930D6" w:rsidP="000930D6">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Of which:</w:t>
            </w:r>
          </w:p>
        </w:tc>
        <w:tc>
          <w:tcPr>
            <w:tcW w:w="1735" w:type="dxa"/>
            <w:tcBorders>
              <w:top w:val="single" w:sz="4" w:space="0" w:color="auto"/>
              <w:left w:val="single" w:sz="4" w:space="0" w:color="auto"/>
              <w:bottom w:val="single" w:sz="4" w:space="0" w:color="auto"/>
              <w:right w:val="single" w:sz="4" w:space="0" w:color="auto"/>
            </w:tcBorders>
            <w:vAlign w:val="center"/>
          </w:tcPr>
          <w:p w14:paraId="53658708" w14:textId="77777777" w:rsidR="000930D6" w:rsidRPr="00A5792A" w:rsidRDefault="000930D6" w:rsidP="000930D6">
            <w:pPr>
              <w:spacing w:after="0"/>
              <w:jc w:val="right"/>
              <w:rPr>
                <w:rFonts w:ascii="Arial" w:hAnsi="Arial" w:cs="Arial"/>
                <w:sz w:val="20"/>
                <w:szCs w:val="20"/>
                <w:lang w:val="en-GB" w:eastAsia="hr-HR"/>
              </w:rPr>
            </w:pPr>
          </w:p>
        </w:tc>
        <w:tc>
          <w:tcPr>
            <w:tcW w:w="1702" w:type="dxa"/>
            <w:tcBorders>
              <w:top w:val="single" w:sz="4" w:space="0" w:color="auto"/>
              <w:left w:val="single" w:sz="4" w:space="0" w:color="auto"/>
              <w:bottom w:val="single" w:sz="4" w:space="0" w:color="auto"/>
              <w:right w:val="single" w:sz="4" w:space="0" w:color="auto"/>
            </w:tcBorders>
            <w:vAlign w:val="center"/>
          </w:tcPr>
          <w:p w14:paraId="78FA1C17" w14:textId="77777777" w:rsidR="000930D6" w:rsidRPr="00A5792A" w:rsidRDefault="000930D6" w:rsidP="000930D6">
            <w:pPr>
              <w:spacing w:after="0"/>
              <w:jc w:val="center"/>
              <w:rPr>
                <w:rFonts w:ascii="Arial" w:hAnsi="Arial" w:cs="Arial"/>
                <w:sz w:val="20"/>
                <w:szCs w:val="20"/>
                <w:lang w:val="en-GB" w:eastAsia="hr-HR"/>
              </w:rPr>
            </w:pPr>
          </w:p>
        </w:tc>
        <w:tc>
          <w:tcPr>
            <w:tcW w:w="1559" w:type="dxa"/>
            <w:tcBorders>
              <w:top w:val="single" w:sz="4" w:space="0" w:color="auto"/>
              <w:left w:val="single" w:sz="4" w:space="0" w:color="auto"/>
              <w:bottom w:val="single" w:sz="4" w:space="0" w:color="auto"/>
              <w:right w:val="single" w:sz="4" w:space="0" w:color="auto"/>
            </w:tcBorders>
            <w:vAlign w:val="center"/>
          </w:tcPr>
          <w:p w14:paraId="2E14848F" w14:textId="77777777" w:rsidR="000930D6" w:rsidRPr="003C7407" w:rsidRDefault="000930D6" w:rsidP="000930D6">
            <w:pPr>
              <w:spacing w:after="0"/>
              <w:jc w:val="right"/>
              <w:rPr>
                <w:rFonts w:ascii="Arial" w:hAnsi="Arial" w:cs="Arial"/>
                <w:sz w:val="20"/>
                <w:szCs w:val="20"/>
                <w:lang w:val="en-GB" w:eastAsia="hr-HR"/>
              </w:rPr>
            </w:pPr>
          </w:p>
        </w:tc>
        <w:tc>
          <w:tcPr>
            <w:tcW w:w="1559" w:type="dxa"/>
            <w:tcBorders>
              <w:top w:val="single" w:sz="4" w:space="0" w:color="auto"/>
              <w:left w:val="single" w:sz="4" w:space="0" w:color="auto"/>
              <w:bottom w:val="single" w:sz="4" w:space="0" w:color="auto"/>
              <w:right w:val="single" w:sz="4" w:space="0" w:color="auto"/>
            </w:tcBorders>
            <w:vAlign w:val="center"/>
          </w:tcPr>
          <w:p w14:paraId="642E327F" w14:textId="77777777" w:rsidR="000930D6" w:rsidRPr="003C7407" w:rsidRDefault="000930D6" w:rsidP="000930D6">
            <w:pPr>
              <w:spacing w:after="0"/>
              <w:jc w:val="center"/>
              <w:rPr>
                <w:rFonts w:ascii="Arial" w:hAnsi="Arial" w:cs="Arial"/>
                <w:sz w:val="20"/>
                <w:szCs w:val="20"/>
                <w:lang w:val="en-GB" w:eastAsia="hr-HR"/>
              </w:rPr>
            </w:pPr>
          </w:p>
        </w:tc>
      </w:tr>
      <w:tr w:rsidR="000930D6" w:rsidRPr="003C7407" w14:paraId="3996A896" w14:textId="77777777" w:rsidTr="000930D6">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43E05609" w14:textId="77777777" w:rsidR="000930D6" w:rsidRPr="003C7407" w:rsidRDefault="000930D6" w:rsidP="000930D6">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 financial institutions</w:t>
            </w:r>
          </w:p>
        </w:tc>
        <w:tc>
          <w:tcPr>
            <w:tcW w:w="1735" w:type="dxa"/>
            <w:tcBorders>
              <w:top w:val="single" w:sz="4" w:space="0" w:color="auto"/>
              <w:left w:val="single" w:sz="4" w:space="0" w:color="auto"/>
              <w:bottom w:val="single" w:sz="4" w:space="0" w:color="auto"/>
              <w:right w:val="single" w:sz="4" w:space="0" w:color="auto"/>
            </w:tcBorders>
            <w:vAlign w:val="center"/>
          </w:tcPr>
          <w:p w14:paraId="10515D68" w14:textId="0BF0E13E" w:rsidR="000930D6" w:rsidRPr="00A5792A" w:rsidRDefault="000930D6" w:rsidP="000930D6">
            <w:pPr>
              <w:spacing w:after="0"/>
              <w:jc w:val="right"/>
              <w:rPr>
                <w:rFonts w:ascii="Arial" w:eastAsia="Calibri" w:hAnsi="Arial" w:cs="Arial"/>
                <w:color w:val="000000"/>
                <w:sz w:val="20"/>
                <w:szCs w:val="20"/>
                <w:lang w:val="en-GB"/>
              </w:rPr>
            </w:pPr>
            <w:r w:rsidRPr="00A5792A">
              <w:rPr>
                <w:rFonts w:ascii="Arial" w:eastAsia="SimSun" w:hAnsi="Arial" w:cs="Arial"/>
                <w:sz w:val="20"/>
                <w:szCs w:val="20"/>
              </w:rPr>
              <w:t>1,5</w:t>
            </w:r>
            <w:r w:rsidR="003F1150" w:rsidRPr="00A5792A">
              <w:rPr>
                <w:rFonts w:ascii="Arial" w:eastAsia="SimSun" w:hAnsi="Arial" w:cs="Arial"/>
                <w:sz w:val="20"/>
                <w:szCs w:val="20"/>
              </w:rPr>
              <w:t>80</w:t>
            </w:r>
            <w:r w:rsidRPr="00A5792A">
              <w:rPr>
                <w:rFonts w:ascii="Arial" w:eastAsia="SimSun" w:hAnsi="Arial" w:cs="Arial"/>
                <w:sz w:val="20"/>
                <w:szCs w:val="20"/>
              </w:rPr>
              <w:t>.</w:t>
            </w:r>
            <w:r w:rsidR="003F1150" w:rsidRPr="00A5792A">
              <w:rPr>
                <w:rFonts w:ascii="Arial" w:eastAsia="SimSun" w:hAnsi="Arial" w:cs="Arial"/>
                <w:sz w:val="20"/>
                <w:szCs w:val="20"/>
              </w:rPr>
              <w:t>8</w:t>
            </w:r>
          </w:p>
        </w:tc>
        <w:tc>
          <w:tcPr>
            <w:tcW w:w="1702" w:type="dxa"/>
            <w:tcBorders>
              <w:top w:val="single" w:sz="4" w:space="0" w:color="auto"/>
              <w:left w:val="single" w:sz="4" w:space="0" w:color="auto"/>
              <w:bottom w:val="single" w:sz="4" w:space="0" w:color="auto"/>
              <w:right w:val="single" w:sz="4" w:space="0" w:color="auto"/>
            </w:tcBorders>
            <w:vAlign w:val="center"/>
          </w:tcPr>
          <w:p w14:paraId="1C7912DC" w14:textId="31B79096" w:rsidR="000930D6" w:rsidRPr="00A5792A" w:rsidRDefault="000930D6" w:rsidP="000930D6">
            <w:pPr>
              <w:spacing w:after="0"/>
              <w:jc w:val="center"/>
              <w:rPr>
                <w:rFonts w:ascii="Arial" w:eastAsia="Calibri" w:hAnsi="Arial" w:cs="Arial"/>
                <w:color w:val="000000"/>
                <w:sz w:val="20"/>
                <w:szCs w:val="20"/>
                <w:lang w:val="en-GB"/>
              </w:rPr>
            </w:pPr>
            <w:r w:rsidRPr="00A5792A">
              <w:rPr>
                <w:rFonts w:ascii="Arial" w:eastAsia="SimSun" w:hAnsi="Arial" w:cs="Arial"/>
                <w:sz w:val="20"/>
                <w:szCs w:val="20"/>
              </w:rPr>
              <w:t>31.7</w:t>
            </w:r>
          </w:p>
        </w:tc>
        <w:tc>
          <w:tcPr>
            <w:tcW w:w="1559" w:type="dxa"/>
            <w:tcBorders>
              <w:top w:val="single" w:sz="4" w:space="0" w:color="auto"/>
              <w:left w:val="single" w:sz="4" w:space="0" w:color="auto"/>
              <w:bottom w:val="single" w:sz="4" w:space="0" w:color="auto"/>
              <w:right w:val="single" w:sz="4" w:space="0" w:color="auto"/>
            </w:tcBorders>
            <w:vAlign w:val="center"/>
          </w:tcPr>
          <w:p w14:paraId="6BD53E9D" w14:textId="02A8249E" w:rsidR="000930D6" w:rsidRPr="003C7407" w:rsidRDefault="000930D6" w:rsidP="000930D6">
            <w:pPr>
              <w:spacing w:after="0"/>
              <w:jc w:val="right"/>
              <w:rPr>
                <w:rFonts w:ascii="Arial" w:eastAsia="Calibri" w:hAnsi="Arial" w:cs="Arial"/>
                <w:color w:val="000000"/>
                <w:sz w:val="20"/>
                <w:szCs w:val="20"/>
                <w:lang w:val="en-GB"/>
              </w:rPr>
            </w:pPr>
            <w:r>
              <w:rPr>
                <w:rFonts w:ascii="Arial" w:hAnsi="Arial" w:cs="Arial"/>
                <w:sz w:val="20"/>
                <w:szCs w:val="20"/>
              </w:rPr>
              <w:t>1,6</w:t>
            </w:r>
            <w:r w:rsidR="009C08AB">
              <w:rPr>
                <w:rFonts w:ascii="Arial" w:hAnsi="Arial" w:cs="Arial"/>
                <w:sz w:val="20"/>
                <w:szCs w:val="20"/>
              </w:rPr>
              <w:t>3</w:t>
            </w:r>
            <w:r>
              <w:rPr>
                <w:rFonts w:ascii="Arial" w:hAnsi="Arial" w:cs="Arial"/>
                <w:sz w:val="20"/>
                <w:szCs w:val="20"/>
              </w:rPr>
              <w:t>0.</w:t>
            </w:r>
            <w:r w:rsidR="009F1572">
              <w:rPr>
                <w:rFonts w:ascii="Arial" w:hAnsi="Arial" w:cs="Arial"/>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ECFEBD1" w14:textId="0D7B7477" w:rsidR="000930D6" w:rsidRPr="003C7407" w:rsidRDefault="000930D6" w:rsidP="000930D6">
            <w:pPr>
              <w:spacing w:after="0"/>
              <w:jc w:val="center"/>
              <w:rPr>
                <w:rFonts w:ascii="Arial" w:eastAsia="Calibri" w:hAnsi="Arial" w:cs="Arial"/>
                <w:color w:val="000000"/>
                <w:sz w:val="20"/>
                <w:szCs w:val="20"/>
                <w:lang w:val="en-GB"/>
              </w:rPr>
            </w:pPr>
            <w:r>
              <w:rPr>
                <w:rFonts w:ascii="Arial" w:hAnsi="Arial" w:cs="Arial"/>
                <w:sz w:val="20"/>
                <w:szCs w:val="20"/>
              </w:rPr>
              <w:t>32.</w:t>
            </w:r>
            <w:r w:rsidR="009C08AB">
              <w:rPr>
                <w:rFonts w:ascii="Arial" w:hAnsi="Arial" w:cs="Arial"/>
                <w:sz w:val="20"/>
                <w:szCs w:val="20"/>
              </w:rPr>
              <w:t>8</w:t>
            </w:r>
          </w:p>
        </w:tc>
      </w:tr>
      <w:tr w:rsidR="000930D6" w:rsidRPr="003C7407" w14:paraId="75093FA8" w14:textId="77777777" w:rsidTr="000930D6">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63CE5F7A" w14:textId="77777777" w:rsidR="000930D6" w:rsidRPr="003C7407" w:rsidRDefault="000930D6" w:rsidP="000930D6">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 direct</w:t>
            </w:r>
          </w:p>
        </w:tc>
        <w:tc>
          <w:tcPr>
            <w:tcW w:w="1735" w:type="dxa"/>
            <w:tcBorders>
              <w:top w:val="single" w:sz="4" w:space="0" w:color="auto"/>
              <w:left w:val="single" w:sz="4" w:space="0" w:color="auto"/>
              <w:bottom w:val="single" w:sz="4" w:space="0" w:color="auto"/>
              <w:right w:val="single" w:sz="4" w:space="0" w:color="auto"/>
            </w:tcBorders>
            <w:vAlign w:val="center"/>
          </w:tcPr>
          <w:p w14:paraId="7F31B51E" w14:textId="5267ACAF" w:rsidR="000930D6" w:rsidRPr="00A5792A" w:rsidRDefault="000930D6" w:rsidP="000930D6">
            <w:pPr>
              <w:spacing w:after="0"/>
              <w:jc w:val="right"/>
              <w:rPr>
                <w:rFonts w:ascii="Arial" w:eastAsia="Calibri" w:hAnsi="Arial" w:cs="Arial"/>
                <w:color w:val="000000"/>
                <w:sz w:val="20"/>
                <w:szCs w:val="20"/>
                <w:lang w:val="en-GB"/>
              </w:rPr>
            </w:pPr>
            <w:r w:rsidRPr="00A5792A">
              <w:rPr>
                <w:rFonts w:ascii="Arial" w:eastAsia="SimSun" w:hAnsi="Arial" w:cs="Arial"/>
                <w:sz w:val="20"/>
                <w:szCs w:val="20"/>
              </w:rPr>
              <w:t>3,4</w:t>
            </w:r>
            <w:r w:rsidR="007A011B" w:rsidRPr="00A5792A">
              <w:rPr>
                <w:rFonts w:ascii="Arial" w:eastAsia="SimSun" w:hAnsi="Arial" w:cs="Arial"/>
                <w:sz w:val="20"/>
                <w:szCs w:val="20"/>
              </w:rPr>
              <w:t>11</w:t>
            </w:r>
            <w:r w:rsidRPr="00A5792A">
              <w:rPr>
                <w:rFonts w:ascii="Arial" w:eastAsia="SimSun" w:hAnsi="Arial" w:cs="Arial"/>
                <w:sz w:val="20"/>
                <w:szCs w:val="20"/>
              </w:rPr>
              <w:t>.</w:t>
            </w:r>
            <w:r w:rsidR="007A011B" w:rsidRPr="00A5792A">
              <w:rPr>
                <w:rFonts w:ascii="Arial" w:eastAsia="SimSun" w:hAnsi="Arial" w:cs="Arial"/>
                <w:sz w:val="20"/>
                <w:szCs w:val="20"/>
              </w:rPr>
              <w:t>9</w:t>
            </w:r>
          </w:p>
        </w:tc>
        <w:tc>
          <w:tcPr>
            <w:tcW w:w="1702" w:type="dxa"/>
            <w:tcBorders>
              <w:top w:val="single" w:sz="4" w:space="0" w:color="auto"/>
              <w:left w:val="single" w:sz="4" w:space="0" w:color="auto"/>
              <w:bottom w:val="single" w:sz="4" w:space="0" w:color="auto"/>
              <w:right w:val="single" w:sz="4" w:space="0" w:color="auto"/>
            </w:tcBorders>
            <w:vAlign w:val="center"/>
          </w:tcPr>
          <w:p w14:paraId="30FE2C05" w14:textId="32D46E31" w:rsidR="000930D6" w:rsidRPr="00A5792A" w:rsidRDefault="000930D6" w:rsidP="000930D6">
            <w:pPr>
              <w:spacing w:after="0"/>
              <w:jc w:val="center"/>
              <w:rPr>
                <w:rFonts w:ascii="Arial" w:eastAsia="Calibri" w:hAnsi="Arial" w:cs="Arial"/>
                <w:color w:val="000000"/>
                <w:sz w:val="20"/>
                <w:szCs w:val="20"/>
                <w:lang w:val="en-GB"/>
              </w:rPr>
            </w:pPr>
            <w:r w:rsidRPr="00A5792A">
              <w:rPr>
                <w:rFonts w:ascii="Arial" w:eastAsia="SimSun" w:hAnsi="Arial" w:cs="Arial"/>
                <w:sz w:val="20"/>
                <w:szCs w:val="20"/>
              </w:rPr>
              <w:t>68.3</w:t>
            </w:r>
          </w:p>
        </w:tc>
        <w:tc>
          <w:tcPr>
            <w:tcW w:w="1559" w:type="dxa"/>
            <w:tcBorders>
              <w:top w:val="single" w:sz="4" w:space="0" w:color="auto"/>
              <w:left w:val="single" w:sz="4" w:space="0" w:color="auto"/>
              <w:bottom w:val="single" w:sz="4" w:space="0" w:color="auto"/>
              <w:right w:val="single" w:sz="4" w:space="0" w:color="auto"/>
            </w:tcBorders>
            <w:vAlign w:val="center"/>
          </w:tcPr>
          <w:p w14:paraId="21EB99DB" w14:textId="6A80A82D" w:rsidR="000930D6" w:rsidRPr="003C7407" w:rsidRDefault="000930D6" w:rsidP="000930D6">
            <w:pPr>
              <w:spacing w:after="0"/>
              <w:jc w:val="right"/>
              <w:rPr>
                <w:rFonts w:ascii="Arial" w:eastAsia="Calibri" w:hAnsi="Arial" w:cs="Arial"/>
                <w:color w:val="000000"/>
                <w:sz w:val="20"/>
                <w:szCs w:val="20"/>
                <w:lang w:val="en-GB"/>
              </w:rPr>
            </w:pPr>
            <w:r>
              <w:rPr>
                <w:rFonts w:ascii="Arial" w:hAnsi="Arial" w:cs="Arial"/>
                <w:sz w:val="20"/>
                <w:szCs w:val="20"/>
              </w:rPr>
              <w:t>3,</w:t>
            </w:r>
            <w:r w:rsidR="009C08AB">
              <w:rPr>
                <w:rFonts w:ascii="Arial" w:hAnsi="Arial" w:cs="Arial"/>
                <w:sz w:val="20"/>
                <w:szCs w:val="20"/>
              </w:rPr>
              <w:t>345</w:t>
            </w:r>
            <w:r>
              <w:rPr>
                <w:rFonts w:ascii="Arial" w:hAnsi="Arial" w:cs="Arial"/>
                <w:sz w:val="20"/>
                <w:szCs w:val="20"/>
              </w:rPr>
              <w:t>.</w:t>
            </w:r>
            <w:r w:rsidR="009C08AB">
              <w:rPr>
                <w:rFonts w:ascii="Arial" w:hAnsi="Arial" w:cs="Arial"/>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67A1875" w14:textId="4E7D4FB6" w:rsidR="000930D6" w:rsidRPr="003C7407" w:rsidRDefault="000930D6" w:rsidP="000930D6">
            <w:pPr>
              <w:spacing w:after="0"/>
              <w:jc w:val="center"/>
              <w:rPr>
                <w:rFonts w:ascii="Arial" w:eastAsia="Calibri" w:hAnsi="Arial" w:cs="Arial"/>
                <w:color w:val="000000"/>
                <w:sz w:val="20"/>
                <w:szCs w:val="20"/>
                <w:lang w:val="en-GB"/>
              </w:rPr>
            </w:pPr>
            <w:r>
              <w:rPr>
                <w:rFonts w:ascii="Arial" w:hAnsi="Arial" w:cs="Arial"/>
                <w:sz w:val="20"/>
                <w:szCs w:val="20"/>
              </w:rPr>
              <w:t>67.</w:t>
            </w:r>
            <w:r w:rsidR="009C08AB">
              <w:rPr>
                <w:rFonts w:ascii="Arial" w:hAnsi="Arial" w:cs="Arial"/>
                <w:sz w:val="20"/>
                <w:szCs w:val="20"/>
              </w:rPr>
              <w:t>2</w:t>
            </w:r>
          </w:p>
        </w:tc>
      </w:tr>
      <w:tr w:rsidR="000930D6" w:rsidRPr="003C7407" w14:paraId="4085F7C7" w14:textId="77777777" w:rsidTr="000930D6">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EDBF33C" w14:textId="77777777" w:rsidR="000930D6" w:rsidRPr="003C7407" w:rsidRDefault="000930D6" w:rsidP="000930D6">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Total provisions</w:t>
            </w:r>
          </w:p>
        </w:tc>
        <w:tc>
          <w:tcPr>
            <w:tcW w:w="1735" w:type="dxa"/>
            <w:tcBorders>
              <w:top w:val="single" w:sz="4" w:space="0" w:color="auto"/>
              <w:left w:val="single" w:sz="4" w:space="0" w:color="auto"/>
              <w:bottom w:val="single" w:sz="4" w:space="0" w:color="auto"/>
              <w:right w:val="single" w:sz="4" w:space="0" w:color="auto"/>
            </w:tcBorders>
            <w:vAlign w:val="center"/>
          </w:tcPr>
          <w:p w14:paraId="570F3184" w14:textId="589C2EFF" w:rsidR="000930D6" w:rsidRPr="00A5792A" w:rsidRDefault="000930D6" w:rsidP="000930D6">
            <w:pPr>
              <w:spacing w:after="0"/>
              <w:jc w:val="right"/>
              <w:rPr>
                <w:rFonts w:ascii="Arial" w:eastAsia="Calibri" w:hAnsi="Arial" w:cs="Arial"/>
                <w:b/>
                <w:bCs/>
                <w:color w:val="000000"/>
                <w:sz w:val="20"/>
                <w:szCs w:val="20"/>
                <w:lang w:val="en-GB"/>
              </w:rPr>
            </w:pPr>
            <w:r w:rsidRPr="00A5792A">
              <w:rPr>
                <w:rFonts w:ascii="Arial" w:eastAsia="SimSun" w:hAnsi="Arial" w:cs="Arial"/>
                <w:b/>
                <w:bCs/>
                <w:sz w:val="20"/>
                <w:szCs w:val="20"/>
              </w:rPr>
              <w:t>496.</w:t>
            </w:r>
            <w:r w:rsidR="007A011B" w:rsidRPr="00A5792A">
              <w:rPr>
                <w:rFonts w:ascii="Arial" w:eastAsia="SimSun" w:hAnsi="Arial" w:cs="Arial"/>
                <w:b/>
                <w:bCs/>
                <w:sz w:val="20"/>
                <w:szCs w:val="20"/>
              </w:rPr>
              <w:t>7</w:t>
            </w:r>
          </w:p>
        </w:tc>
        <w:tc>
          <w:tcPr>
            <w:tcW w:w="1702" w:type="dxa"/>
            <w:tcBorders>
              <w:top w:val="single" w:sz="4" w:space="0" w:color="auto"/>
              <w:left w:val="single" w:sz="4" w:space="0" w:color="auto"/>
              <w:bottom w:val="single" w:sz="4" w:space="0" w:color="auto"/>
              <w:right w:val="single" w:sz="4" w:space="0" w:color="auto"/>
            </w:tcBorders>
            <w:noWrap/>
            <w:vAlign w:val="center"/>
            <w:hideMark/>
          </w:tcPr>
          <w:p w14:paraId="7CEB845E" w14:textId="21F984D5" w:rsidR="000930D6" w:rsidRPr="00A5792A" w:rsidRDefault="000930D6" w:rsidP="000930D6">
            <w:pPr>
              <w:spacing w:after="0"/>
              <w:jc w:val="center"/>
              <w:rPr>
                <w:rFonts w:ascii="Arial" w:eastAsia="Calibri" w:hAnsi="Arial" w:cs="Arial"/>
                <w:b/>
                <w:bCs/>
                <w:color w:val="000000"/>
                <w:sz w:val="20"/>
                <w:szCs w:val="20"/>
                <w:lang w:val="en-GB"/>
              </w:rPr>
            </w:pPr>
            <w:r w:rsidRPr="00A5792A">
              <w:rPr>
                <w:rFonts w:ascii="Arial" w:eastAsia="SimSun" w:hAnsi="Arial" w:cs="Arial"/>
                <w:b/>
                <w:bCs/>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14:paraId="72420E2B" w14:textId="015CDAF5" w:rsidR="000930D6" w:rsidRPr="003C7407" w:rsidRDefault="000930D6" w:rsidP="000930D6">
            <w:pPr>
              <w:spacing w:after="0"/>
              <w:jc w:val="right"/>
              <w:rPr>
                <w:rFonts w:ascii="Arial" w:eastAsia="Calibri" w:hAnsi="Arial" w:cs="Arial"/>
                <w:b/>
                <w:bCs/>
                <w:color w:val="000000"/>
                <w:sz w:val="20"/>
                <w:szCs w:val="20"/>
                <w:lang w:val="en-GB"/>
              </w:rPr>
            </w:pPr>
            <w:r>
              <w:rPr>
                <w:rFonts w:ascii="Arial" w:hAnsi="Arial" w:cs="Arial"/>
                <w:b/>
                <w:bCs/>
                <w:sz w:val="20"/>
                <w:szCs w:val="20"/>
              </w:rPr>
              <w:t>47</w:t>
            </w:r>
            <w:r w:rsidR="009C08AB">
              <w:rPr>
                <w:rFonts w:ascii="Arial" w:hAnsi="Arial" w:cs="Arial"/>
                <w:b/>
                <w:bCs/>
                <w:sz w:val="20"/>
                <w:szCs w:val="20"/>
              </w:rPr>
              <w:t>2</w:t>
            </w:r>
            <w:r>
              <w:rPr>
                <w:rFonts w:ascii="Arial" w:hAnsi="Arial" w:cs="Arial"/>
                <w:b/>
                <w:bCs/>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2689EB" w14:textId="7C699A58" w:rsidR="000930D6" w:rsidRPr="003C7407" w:rsidRDefault="000930D6" w:rsidP="000930D6">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w:t>
            </w:r>
          </w:p>
        </w:tc>
      </w:tr>
      <w:tr w:rsidR="000930D6" w:rsidRPr="003C7407" w14:paraId="3C53BBC5" w14:textId="77777777" w:rsidTr="000930D6">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6E7F6D6C" w14:textId="77777777" w:rsidR="000930D6" w:rsidRPr="003C7407" w:rsidRDefault="000930D6" w:rsidP="000930D6">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Of which:</w:t>
            </w:r>
          </w:p>
        </w:tc>
        <w:tc>
          <w:tcPr>
            <w:tcW w:w="1735" w:type="dxa"/>
            <w:tcBorders>
              <w:top w:val="single" w:sz="4" w:space="0" w:color="auto"/>
              <w:left w:val="single" w:sz="4" w:space="0" w:color="auto"/>
              <w:bottom w:val="single" w:sz="4" w:space="0" w:color="auto"/>
              <w:right w:val="single" w:sz="4" w:space="0" w:color="auto"/>
            </w:tcBorders>
            <w:vAlign w:val="center"/>
          </w:tcPr>
          <w:p w14:paraId="2995CA29" w14:textId="77777777" w:rsidR="000930D6" w:rsidRPr="00A5792A" w:rsidRDefault="000930D6" w:rsidP="000930D6">
            <w:pPr>
              <w:spacing w:after="0"/>
              <w:jc w:val="right"/>
              <w:rPr>
                <w:rFonts w:ascii="Arial" w:hAnsi="Arial" w:cs="Arial"/>
                <w:sz w:val="20"/>
                <w:szCs w:val="20"/>
                <w:lang w:val="en-GB" w:eastAsia="hr-HR"/>
              </w:rPr>
            </w:pPr>
          </w:p>
        </w:tc>
        <w:tc>
          <w:tcPr>
            <w:tcW w:w="1702" w:type="dxa"/>
            <w:tcBorders>
              <w:top w:val="single" w:sz="4" w:space="0" w:color="auto"/>
              <w:left w:val="single" w:sz="4" w:space="0" w:color="auto"/>
              <w:bottom w:val="single" w:sz="4" w:space="0" w:color="auto"/>
              <w:right w:val="single" w:sz="4" w:space="0" w:color="auto"/>
            </w:tcBorders>
            <w:noWrap/>
            <w:vAlign w:val="center"/>
          </w:tcPr>
          <w:p w14:paraId="72795F88" w14:textId="77777777" w:rsidR="000930D6" w:rsidRPr="00A5792A" w:rsidRDefault="000930D6" w:rsidP="000930D6">
            <w:pPr>
              <w:spacing w:after="0"/>
              <w:jc w:val="center"/>
              <w:rPr>
                <w:rFonts w:ascii="Arial" w:hAnsi="Arial" w:cs="Arial"/>
                <w:sz w:val="20"/>
                <w:szCs w:val="20"/>
                <w:lang w:val="en-GB" w:eastAsia="hr-HR"/>
              </w:rPr>
            </w:pPr>
          </w:p>
        </w:tc>
        <w:tc>
          <w:tcPr>
            <w:tcW w:w="1559" w:type="dxa"/>
            <w:tcBorders>
              <w:top w:val="single" w:sz="4" w:space="0" w:color="auto"/>
              <w:left w:val="single" w:sz="4" w:space="0" w:color="auto"/>
              <w:bottom w:val="single" w:sz="4" w:space="0" w:color="auto"/>
              <w:right w:val="single" w:sz="4" w:space="0" w:color="auto"/>
            </w:tcBorders>
            <w:vAlign w:val="center"/>
          </w:tcPr>
          <w:p w14:paraId="3552E00A" w14:textId="77777777" w:rsidR="000930D6" w:rsidRPr="003C7407" w:rsidRDefault="000930D6" w:rsidP="000930D6">
            <w:pPr>
              <w:spacing w:after="0"/>
              <w:jc w:val="right"/>
              <w:rPr>
                <w:rFonts w:ascii="Arial" w:hAnsi="Arial" w:cs="Arial"/>
                <w:sz w:val="20"/>
                <w:szCs w:val="20"/>
                <w:lang w:val="en-GB" w:eastAsia="hr-HR"/>
              </w:rPr>
            </w:pPr>
          </w:p>
        </w:tc>
        <w:tc>
          <w:tcPr>
            <w:tcW w:w="1559" w:type="dxa"/>
            <w:tcBorders>
              <w:top w:val="single" w:sz="4" w:space="0" w:color="auto"/>
              <w:left w:val="single" w:sz="4" w:space="0" w:color="auto"/>
              <w:bottom w:val="single" w:sz="4" w:space="0" w:color="auto"/>
              <w:right w:val="single" w:sz="4" w:space="0" w:color="auto"/>
            </w:tcBorders>
            <w:vAlign w:val="center"/>
          </w:tcPr>
          <w:p w14:paraId="4769AE62" w14:textId="77777777" w:rsidR="000930D6" w:rsidRPr="003C7407" w:rsidRDefault="000930D6" w:rsidP="000930D6">
            <w:pPr>
              <w:spacing w:after="0"/>
              <w:jc w:val="center"/>
              <w:rPr>
                <w:rFonts w:ascii="Arial" w:hAnsi="Arial" w:cs="Arial"/>
                <w:sz w:val="20"/>
                <w:szCs w:val="20"/>
                <w:lang w:val="en-GB" w:eastAsia="hr-HR"/>
              </w:rPr>
            </w:pPr>
          </w:p>
        </w:tc>
      </w:tr>
      <w:tr w:rsidR="000930D6" w:rsidRPr="003C7407" w14:paraId="7C8F2C9A" w14:textId="77777777" w:rsidTr="000930D6">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3574A0F" w14:textId="77777777" w:rsidR="000930D6" w:rsidRPr="003C7407" w:rsidRDefault="000930D6" w:rsidP="000930D6">
            <w:pPr>
              <w:spacing w:after="0"/>
              <w:ind w:firstLineChars="100" w:firstLine="201"/>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financial institutions</w:t>
            </w:r>
          </w:p>
        </w:tc>
        <w:tc>
          <w:tcPr>
            <w:tcW w:w="1735" w:type="dxa"/>
            <w:tcBorders>
              <w:top w:val="single" w:sz="4" w:space="0" w:color="auto"/>
              <w:left w:val="single" w:sz="4" w:space="0" w:color="auto"/>
              <w:bottom w:val="single" w:sz="4" w:space="0" w:color="auto"/>
              <w:right w:val="single" w:sz="4" w:space="0" w:color="auto"/>
            </w:tcBorders>
            <w:vAlign w:val="center"/>
          </w:tcPr>
          <w:p w14:paraId="76C104F3" w14:textId="58B5C1D8" w:rsidR="000930D6" w:rsidRPr="00A5792A" w:rsidRDefault="007A011B" w:rsidP="000930D6">
            <w:pPr>
              <w:spacing w:after="0"/>
              <w:jc w:val="right"/>
              <w:rPr>
                <w:rFonts w:ascii="Arial" w:eastAsia="Calibri" w:hAnsi="Arial" w:cs="Arial"/>
                <w:color w:val="000000"/>
                <w:sz w:val="20"/>
                <w:szCs w:val="20"/>
                <w:lang w:val="en-GB"/>
              </w:rPr>
            </w:pPr>
            <w:r w:rsidRPr="00A5792A">
              <w:rPr>
                <w:rFonts w:ascii="Arial" w:eastAsia="SimSun" w:hAnsi="Arial" w:cs="Arial"/>
                <w:sz w:val="20"/>
                <w:szCs w:val="20"/>
              </w:rPr>
              <w:t>8</w:t>
            </w:r>
            <w:r w:rsidR="000930D6" w:rsidRPr="00A5792A">
              <w:rPr>
                <w:rFonts w:ascii="Arial" w:eastAsia="SimSun" w:hAnsi="Arial" w:cs="Arial"/>
                <w:sz w:val="20"/>
                <w:szCs w:val="20"/>
              </w:rPr>
              <w:t>.</w:t>
            </w:r>
            <w:r w:rsidRPr="00A5792A">
              <w:rPr>
                <w:rFonts w:ascii="Arial" w:eastAsia="SimSun" w:hAnsi="Arial" w:cs="Arial"/>
                <w:sz w:val="20"/>
                <w:szCs w:val="20"/>
              </w:rPr>
              <w:t>2</w:t>
            </w:r>
          </w:p>
        </w:tc>
        <w:tc>
          <w:tcPr>
            <w:tcW w:w="1702" w:type="dxa"/>
            <w:tcBorders>
              <w:top w:val="single" w:sz="4" w:space="0" w:color="auto"/>
              <w:left w:val="single" w:sz="4" w:space="0" w:color="auto"/>
              <w:bottom w:val="single" w:sz="4" w:space="0" w:color="auto"/>
              <w:right w:val="single" w:sz="4" w:space="0" w:color="auto"/>
            </w:tcBorders>
            <w:noWrap/>
            <w:vAlign w:val="center"/>
          </w:tcPr>
          <w:p w14:paraId="65E7E6DF" w14:textId="074F3AA2" w:rsidR="000930D6" w:rsidRPr="00A5792A" w:rsidRDefault="000930D6" w:rsidP="000930D6">
            <w:pPr>
              <w:spacing w:after="0"/>
              <w:jc w:val="center"/>
              <w:rPr>
                <w:rFonts w:ascii="Arial" w:eastAsia="Calibri" w:hAnsi="Arial" w:cs="Arial"/>
                <w:color w:val="000000"/>
                <w:sz w:val="20"/>
                <w:szCs w:val="20"/>
                <w:lang w:val="en-GB"/>
              </w:rPr>
            </w:pPr>
            <w:r w:rsidRPr="00A5792A">
              <w:rPr>
                <w:rFonts w:ascii="Arial" w:eastAsia="SimSun" w:hAnsi="Arial" w:cs="Arial"/>
                <w:sz w:val="20"/>
                <w:szCs w:val="20"/>
              </w:rPr>
              <w:t>1.</w:t>
            </w:r>
            <w:r w:rsidR="007A011B" w:rsidRPr="00A5792A">
              <w:rPr>
                <w:rFonts w:ascii="Arial" w:eastAsia="SimSun" w:hAnsi="Arial" w:cs="Arial"/>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tcPr>
          <w:p w14:paraId="0C90D7F3" w14:textId="54134005" w:rsidR="000930D6" w:rsidRPr="003C7407" w:rsidRDefault="009C08AB" w:rsidP="000930D6">
            <w:pPr>
              <w:spacing w:after="0"/>
              <w:jc w:val="right"/>
              <w:rPr>
                <w:rFonts w:ascii="Arial" w:eastAsia="Calibri" w:hAnsi="Arial" w:cs="Arial"/>
                <w:color w:val="000000"/>
                <w:sz w:val="20"/>
                <w:szCs w:val="20"/>
                <w:lang w:val="en-GB"/>
              </w:rPr>
            </w:pPr>
            <w:r>
              <w:rPr>
                <w:rFonts w:ascii="Arial" w:hAnsi="Arial" w:cs="Arial"/>
                <w:sz w:val="20"/>
                <w:szCs w:val="20"/>
              </w:rPr>
              <w:t>9</w:t>
            </w:r>
            <w:r w:rsidR="000930D6">
              <w:rPr>
                <w:rFonts w:ascii="Arial" w:hAnsi="Arial" w:cs="Arial"/>
                <w:sz w:val="20"/>
                <w:szCs w:val="20"/>
              </w:rPr>
              <w:t>.</w:t>
            </w:r>
            <w:r>
              <w:rPr>
                <w:rFonts w:ascii="Arial" w:hAnsi="Arial" w:cs="Arial"/>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2BB93E13" w14:textId="70BECA72" w:rsidR="000930D6" w:rsidRPr="003C7407" w:rsidRDefault="000930D6" w:rsidP="000930D6">
            <w:pPr>
              <w:spacing w:after="0"/>
              <w:jc w:val="center"/>
              <w:rPr>
                <w:rFonts w:ascii="Arial" w:eastAsia="Calibri" w:hAnsi="Arial" w:cs="Arial"/>
                <w:color w:val="000000"/>
                <w:sz w:val="20"/>
                <w:szCs w:val="20"/>
                <w:lang w:val="en-GB"/>
              </w:rPr>
            </w:pPr>
            <w:r>
              <w:rPr>
                <w:rFonts w:ascii="Arial" w:hAnsi="Arial" w:cs="Arial"/>
                <w:sz w:val="20"/>
                <w:szCs w:val="20"/>
              </w:rPr>
              <w:t>1.</w:t>
            </w:r>
            <w:r w:rsidR="009C08AB">
              <w:rPr>
                <w:rFonts w:ascii="Arial" w:hAnsi="Arial" w:cs="Arial"/>
                <w:sz w:val="20"/>
                <w:szCs w:val="20"/>
              </w:rPr>
              <w:t>9</w:t>
            </w:r>
          </w:p>
        </w:tc>
      </w:tr>
      <w:tr w:rsidR="000930D6" w:rsidRPr="003C7407" w14:paraId="337E59C7" w14:textId="77777777" w:rsidTr="000930D6">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1BAEF7A6" w14:textId="77777777" w:rsidR="000930D6" w:rsidRPr="003C7407" w:rsidRDefault="000930D6" w:rsidP="000930D6">
            <w:pPr>
              <w:spacing w:after="0"/>
              <w:ind w:firstLineChars="100" w:firstLine="201"/>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direct</w:t>
            </w:r>
          </w:p>
        </w:tc>
        <w:tc>
          <w:tcPr>
            <w:tcW w:w="1735" w:type="dxa"/>
            <w:tcBorders>
              <w:top w:val="single" w:sz="4" w:space="0" w:color="auto"/>
              <w:left w:val="single" w:sz="4" w:space="0" w:color="auto"/>
              <w:bottom w:val="single" w:sz="4" w:space="0" w:color="auto"/>
              <w:right w:val="single" w:sz="4" w:space="0" w:color="auto"/>
            </w:tcBorders>
            <w:vAlign w:val="center"/>
          </w:tcPr>
          <w:p w14:paraId="225F5DC5" w14:textId="695EBE8C" w:rsidR="000930D6" w:rsidRPr="00A5792A" w:rsidRDefault="000930D6" w:rsidP="000930D6">
            <w:pPr>
              <w:spacing w:after="0"/>
              <w:jc w:val="right"/>
              <w:rPr>
                <w:rFonts w:ascii="Arial" w:eastAsia="Calibri" w:hAnsi="Arial" w:cs="Arial"/>
                <w:color w:val="000000"/>
                <w:sz w:val="20"/>
                <w:szCs w:val="20"/>
                <w:lang w:val="en-GB"/>
              </w:rPr>
            </w:pPr>
            <w:r w:rsidRPr="00A5792A">
              <w:rPr>
                <w:rFonts w:ascii="Arial" w:eastAsia="SimSun" w:hAnsi="Arial" w:cs="Arial"/>
                <w:sz w:val="20"/>
                <w:szCs w:val="20"/>
              </w:rPr>
              <w:t>48</w:t>
            </w:r>
            <w:r w:rsidR="007A011B" w:rsidRPr="00A5792A">
              <w:rPr>
                <w:rFonts w:ascii="Arial" w:eastAsia="SimSun" w:hAnsi="Arial" w:cs="Arial"/>
                <w:sz w:val="20"/>
                <w:szCs w:val="20"/>
              </w:rPr>
              <w:t>8</w:t>
            </w:r>
            <w:r w:rsidRPr="00A5792A">
              <w:rPr>
                <w:rFonts w:ascii="Arial" w:eastAsia="SimSun" w:hAnsi="Arial" w:cs="Arial"/>
                <w:sz w:val="20"/>
                <w:szCs w:val="20"/>
              </w:rPr>
              <w:t>.</w:t>
            </w:r>
            <w:r w:rsidR="007A011B" w:rsidRPr="00A5792A">
              <w:rPr>
                <w:rFonts w:ascii="Arial" w:eastAsia="SimSun" w:hAnsi="Arial" w:cs="Arial"/>
                <w:sz w:val="20"/>
                <w:szCs w:val="20"/>
              </w:rPr>
              <w:t>5</w:t>
            </w:r>
          </w:p>
        </w:tc>
        <w:tc>
          <w:tcPr>
            <w:tcW w:w="1702" w:type="dxa"/>
            <w:tcBorders>
              <w:top w:val="single" w:sz="4" w:space="0" w:color="auto"/>
              <w:left w:val="single" w:sz="4" w:space="0" w:color="auto"/>
              <w:bottom w:val="single" w:sz="4" w:space="0" w:color="auto"/>
              <w:right w:val="single" w:sz="4" w:space="0" w:color="auto"/>
            </w:tcBorders>
            <w:noWrap/>
            <w:vAlign w:val="center"/>
          </w:tcPr>
          <w:p w14:paraId="3F9D0677" w14:textId="70EDF902" w:rsidR="000930D6" w:rsidRPr="00A5792A" w:rsidRDefault="000930D6" w:rsidP="000930D6">
            <w:pPr>
              <w:spacing w:after="0"/>
              <w:jc w:val="center"/>
              <w:rPr>
                <w:rFonts w:ascii="Arial" w:eastAsia="Calibri" w:hAnsi="Arial" w:cs="Arial"/>
                <w:color w:val="000000"/>
                <w:sz w:val="20"/>
                <w:szCs w:val="20"/>
                <w:lang w:val="en-GB"/>
              </w:rPr>
            </w:pPr>
            <w:r w:rsidRPr="00A5792A">
              <w:rPr>
                <w:rFonts w:ascii="Arial" w:eastAsia="SimSun" w:hAnsi="Arial" w:cs="Arial"/>
                <w:sz w:val="20"/>
                <w:szCs w:val="20"/>
              </w:rPr>
              <w:t>98.</w:t>
            </w:r>
            <w:r w:rsidR="007A011B" w:rsidRPr="00A5792A">
              <w:rPr>
                <w:rFonts w:ascii="Arial" w:eastAsia="SimSun" w:hAnsi="Arial" w:cs="Arial"/>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060DCA0B" w14:textId="25A4E7DB" w:rsidR="000930D6" w:rsidRPr="003C7407" w:rsidRDefault="000930D6" w:rsidP="000930D6">
            <w:pPr>
              <w:spacing w:after="0"/>
              <w:jc w:val="right"/>
              <w:rPr>
                <w:rFonts w:ascii="Arial" w:eastAsia="Calibri" w:hAnsi="Arial" w:cs="Arial"/>
                <w:color w:val="000000"/>
                <w:sz w:val="20"/>
                <w:szCs w:val="20"/>
                <w:lang w:val="en-GB"/>
              </w:rPr>
            </w:pPr>
            <w:r>
              <w:rPr>
                <w:rFonts w:ascii="Arial" w:hAnsi="Arial" w:cs="Arial"/>
                <w:sz w:val="20"/>
                <w:szCs w:val="20"/>
              </w:rPr>
              <w:t>46</w:t>
            </w:r>
            <w:r w:rsidR="009C08AB">
              <w:rPr>
                <w:rFonts w:ascii="Arial" w:hAnsi="Arial" w:cs="Arial"/>
                <w:sz w:val="20"/>
                <w:szCs w:val="20"/>
              </w:rPr>
              <w:t>3</w:t>
            </w:r>
            <w:r>
              <w:rPr>
                <w:rFonts w:ascii="Arial" w:hAnsi="Arial" w:cs="Arial"/>
                <w:sz w:val="20"/>
                <w:szCs w:val="20"/>
              </w:rPr>
              <w:t>.</w:t>
            </w:r>
            <w:r w:rsidR="009C08AB">
              <w:rPr>
                <w:rFonts w:ascii="Arial" w:hAnsi="Arial" w:cs="Arial"/>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5A0CAE0F" w14:textId="659725A1" w:rsidR="000930D6" w:rsidRPr="003C7407" w:rsidRDefault="000930D6" w:rsidP="000930D6">
            <w:pPr>
              <w:spacing w:after="0"/>
              <w:jc w:val="center"/>
              <w:rPr>
                <w:rFonts w:ascii="Arial" w:eastAsia="Calibri" w:hAnsi="Arial" w:cs="Arial"/>
                <w:color w:val="000000"/>
                <w:sz w:val="20"/>
                <w:szCs w:val="20"/>
                <w:lang w:val="en-GB"/>
              </w:rPr>
            </w:pPr>
            <w:r>
              <w:rPr>
                <w:rFonts w:ascii="Arial" w:hAnsi="Arial" w:cs="Arial"/>
                <w:sz w:val="20"/>
                <w:szCs w:val="20"/>
              </w:rPr>
              <w:t>98.</w:t>
            </w:r>
            <w:r w:rsidR="009C08AB">
              <w:rPr>
                <w:rFonts w:ascii="Arial" w:hAnsi="Arial" w:cs="Arial"/>
                <w:sz w:val="20"/>
                <w:szCs w:val="20"/>
              </w:rPr>
              <w:t>1</w:t>
            </w:r>
          </w:p>
        </w:tc>
      </w:tr>
      <w:tr w:rsidR="000930D6" w:rsidRPr="003C7407" w14:paraId="4C5FFC18" w14:textId="77777777" w:rsidTr="000930D6">
        <w:trPr>
          <w:trHeight w:val="453"/>
        </w:trPr>
        <w:tc>
          <w:tcPr>
            <w:tcW w:w="2835" w:type="dxa"/>
            <w:tcBorders>
              <w:top w:val="single" w:sz="4" w:space="0" w:color="auto"/>
              <w:left w:val="single" w:sz="4" w:space="0" w:color="auto"/>
              <w:bottom w:val="single" w:sz="4" w:space="0" w:color="auto"/>
              <w:right w:val="single" w:sz="4" w:space="0" w:color="auto"/>
            </w:tcBorders>
            <w:vAlign w:val="center"/>
            <w:hideMark/>
          </w:tcPr>
          <w:p w14:paraId="11470974" w14:textId="77777777" w:rsidR="000930D6" w:rsidRPr="003C7407" w:rsidRDefault="000930D6" w:rsidP="000930D6">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Provisions/gross portfolio</w:t>
            </w:r>
          </w:p>
        </w:tc>
        <w:tc>
          <w:tcPr>
            <w:tcW w:w="1735" w:type="dxa"/>
            <w:tcBorders>
              <w:top w:val="single" w:sz="4" w:space="0" w:color="auto"/>
              <w:left w:val="single" w:sz="4" w:space="0" w:color="auto"/>
              <w:bottom w:val="single" w:sz="4" w:space="0" w:color="auto"/>
              <w:right w:val="single" w:sz="4" w:space="0" w:color="auto"/>
            </w:tcBorders>
            <w:vAlign w:val="center"/>
            <w:hideMark/>
          </w:tcPr>
          <w:p w14:paraId="6D4258AA" w14:textId="3C677DC2" w:rsidR="000930D6" w:rsidRPr="00A5792A" w:rsidRDefault="009C08AB" w:rsidP="000930D6">
            <w:pPr>
              <w:spacing w:after="0"/>
              <w:jc w:val="right"/>
              <w:rPr>
                <w:rFonts w:ascii="Arial" w:eastAsia="Calibri" w:hAnsi="Arial" w:cs="Arial"/>
                <w:b/>
                <w:bCs/>
                <w:color w:val="000000"/>
                <w:sz w:val="20"/>
                <w:szCs w:val="20"/>
                <w:lang w:val="en-GB"/>
              </w:rPr>
            </w:pPr>
            <w:r w:rsidRPr="00A5792A">
              <w:rPr>
                <w:rFonts w:ascii="Arial" w:eastAsia="SimSun" w:hAnsi="Arial" w:cs="Arial"/>
                <w:b/>
                <w:bCs/>
                <w:sz w:val="20"/>
                <w:szCs w:val="20"/>
              </w:rPr>
              <w:t>9</w:t>
            </w:r>
            <w:r w:rsidR="000930D6" w:rsidRPr="00A5792A">
              <w:rPr>
                <w:rFonts w:ascii="Arial" w:eastAsia="SimSun" w:hAnsi="Arial" w:cs="Arial"/>
                <w:b/>
                <w:bCs/>
                <w:sz w:val="20"/>
                <w:szCs w:val="20"/>
              </w:rPr>
              <w:t>.</w:t>
            </w:r>
            <w:r w:rsidRPr="00A5792A">
              <w:rPr>
                <w:rFonts w:ascii="Arial" w:eastAsia="SimSun" w:hAnsi="Arial" w:cs="Arial"/>
                <w:b/>
                <w:bCs/>
                <w:sz w:val="20"/>
                <w:szCs w:val="20"/>
              </w:rPr>
              <w:t>9</w:t>
            </w:r>
            <w:r w:rsidR="000930D6" w:rsidRPr="00A5792A">
              <w:rPr>
                <w:rFonts w:ascii="Arial" w:eastAsia="SimSun" w:hAnsi="Arial" w:cs="Arial"/>
                <w:b/>
                <w:bCs/>
                <w:sz w:val="20"/>
                <w:szCs w:val="20"/>
              </w:rPr>
              <w:t xml:space="preserve"> percent</w:t>
            </w:r>
          </w:p>
        </w:tc>
        <w:tc>
          <w:tcPr>
            <w:tcW w:w="1702" w:type="dxa"/>
            <w:tcBorders>
              <w:top w:val="single" w:sz="4" w:space="0" w:color="auto"/>
              <w:left w:val="single" w:sz="4" w:space="0" w:color="auto"/>
              <w:bottom w:val="single" w:sz="4" w:space="0" w:color="auto"/>
              <w:right w:val="single" w:sz="4" w:space="0" w:color="auto"/>
            </w:tcBorders>
            <w:noWrap/>
            <w:vAlign w:val="center"/>
            <w:hideMark/>
          </w:tcPr>
          <w:p w14:paraId="2550746F" w14:textId="758CDD20" w:rsidR="000930D6" w:rsidRPr="00A5792A" w:rsidRDefault="000930D6" w:rsidP="000930D6">
            <w:pPr>
              <w:spacing w:after="0"/>
              <w:jc w:val="center"/>
              <w:rPr>
                <w:rFonts w:ascii="Arial" w:eastAsia="Calibri" w:hAnsi="Arial" w:cs="Arial"/>
                <w:b/>
                <w:bCs/>
                <w:color w:val="000000"/>
                <w:sz w:val="20"/>
                <w:szCs w:val="20"/>
                <w:lang w:val="en-GB"/>
              </w:rPr>
            </w:pPr>
            <w:r w:rsidRPr="00A5792A">
              <w:rPr>
                <w:rFonts w:ascii="Arial" w:eastAsia="SimSun" w:hAnsi="Arial" w:cs="Arial"/>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A8F97C6" w14:textId="6C7E4635" w:rsidR="000930D6" w:rsidRPr="003C7407" w:rsidRDefault="000930D6" w:rsidP="000930D6">
            <w:pPr>
              <w:spacing w:after="0"/>
              <w:jc w:val="right"/>
              <w:rPr>
                <w:rFonts w:ascii="Arial" w:eastAsia="Calibri" w:hAnsi="Arial" w:cs="Arial"/>
                <w:b/>
                <w:bCs/>
                <w:color w:val="000000"/>
                <w:sz w:val="20"/>
                <w:szCs w:val="20"/>
                <w:lang w:val="en-GB"/>
              </w:rPr>
            </w:pPr>
            <w:r>
              <w:rPr>
                <w:rFonts w:ascii="Arial" w:hAnsi="Arial" w:cs="Arial"/>
                <w:b/>
                <w:bCs/>
                <w:sz w:val="20"/>
                <w:szCs w:val="20"/>
              </w:rPr>
              <w:t>9.</w:t>
            </w:r>
            <w:r w:rsidR="009C08AB">
              <w:rPr>
                <w:rFonts w:ascii="Arial" w:hAnsi="Arial" w:cs="Arial"/>
                <w:b/>
                <w:bCs/>
                <w:sz w:val="20"/>
                <w:szCs w:val="20"/>
              </w:rPr>
              <w:t>5</w:t>
            </w:r>
            <w:r>
              <w:rPr>
                <w:rFonts w:ascii="Arial" w:hAnsi="Arial" w:cs="Arial"/>
                <w:b/>
                <w:bCs/>
                <w:sz w:val="20"/>
                <w:szCs w:val="20"/>
              </w:rPr>
              <w:t xml:space="preserve"> percent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BE4B6B" w14:textId="77777777" w:rsidR="000930D6" w:rsidRPr="003C7407" w:rsidRDefault="000930D6" w:rsidP="000930D6">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w:t>
            </w:r>
          </w:p>
        </w:tc>
      </w:tr>
    </w:tbl>
    <w:p w14:paraId="3C58CDF1" w14:textId="77777777" w:rsidR="00623B18" w:rsidRDefault="00623B18" w:rsidP="009C75D1">
      <w:pPr>
        <w:spacing w:before="120" w:after="120" w:line="23" w:lineRule="atLeast"/>
        <w:rPr>
          <w:rFonts w:ascii="Arial" w:eastAsia="SimSun" w:hAnsi="Arial" w:cs="Arial"/>
          <w:b/>
          <w:bCs/>
          <w:sz w:val="20"/>
          <w:szCs w:val="20"/>
        </w:rPr>
      </w:pPr>
    </w:p>
    <w:p w14:paraId="4EDE5F3C" w14:textId="77777777" w:rsidR="00B41E61" w:rsidRDefault="00B41E61" w:rsidP="009C75D1">
      <w:pPr>
        <w:spacing w:before="120" w:after="120" w:line="23" w:lineRule="atLeast"/>
        <w:rPr>
          <w:rFonts w:ascii="Arial" w:eastAsia="SimSun" w:hAnsi="Arial" w:cs="Arial"/>
          <w:b/>
          <w:bCs/>
          <w:sz w:val="20"/>
          <w:szCs w:val="20"/>
        </w:rPr>
      </w:pPr>
    </w:p>
    <w:p w14:paraId="29CE0FFC" w14:textId="77777777" w:rsidR="00B41E61" w:rsidRDefault="00B41E61" w:rsidP="009C75D1">
      <w:pPr>
        <w:spacing w:before="120" w:after="120" w:line="23" w:lineRule="atLeast"/>
        <w:rPr>
          <w:rFonts w:ascii="Arial" w:eastAsia="SimSun" w:hAnsi="Arial" w:cs="Arial"/>
          <w:b/>
          <w:bCs/>
          <w:sz w:val="20"/>
          <w:szCs w:val="20"/>
        </w:rPr>
      </w:pPr>
    </w:p>
    <w:p w14:paraId="20458A35" w14:textId="77777777" w:rsidR="00B41E61" w:rsidRPr="009A58D2" w:rsidRDefault="00B41E61" w:rsidP="009C75D1">
      <w:pPr>
        <w:spacing w:before="120" w:after="120" w:line="23" w:lineRule="atLeast"/>
        <w:rPr>
          <w:rFonts w:ascii="Arial" w:eastAsia="SimSun" w:hAnsi="Arial" w:cs="Arial"/>
          <w:b/>
          <w:bCs/>
          <w:sz w:val="20"/>
          <w:szCs w:val="20"/>
        </w:rPr>
      </w:pPr>
    </w:p>
    <w:p w14:paraId="6E69391D" w14:textId="32465414" w:rsidR="009C75D1" w:rsidRPr="009A58D2" w:rsidRDefault="009C75D1" w:rsidP="00BF17D9">
      <w:pPr>
        <w:tabs>
          <w:tab w:val="left" w:pos="4536"/>
        </w:tabs>
        <w:spacing w:after="0" w:line="240" w:lineRule="auto"/>
        <w:ind w:right="-285" w:hanging="284"/>
        <w:jc w:val="both"/>
        <w:rPr>
          <w:rFonts w:ascii="Arial" w:eastAsia="Times New Roman" w:hAnsi="Arial" w:cs="Arial"/>
          <w:b/>
          <w:spacing w:val="-3"/>
          <w:sz w:val="20"/>
          <w:szCs w:val="20"/>
          <w:lang w:val="en-GB" w:eastAsia="hr-HR"/>
        </w:rPr>
      </w:pPr>
    </w:p>
    <w:p w14:paraId="4F1457DC" w14:textId="77777777" w:rsidR="009C75D1" w:rsidRPr="009A58D2" w:rsidRDefault="009C75D1" w:rsidP="00BF17D9">
      <w:pPr>
        <w:tabs>
          <w:tab w:val="left" w:pos="4536"/>
        </w:tabs>
        <w:spacing w:after="0" w:line="240" w:lineRule="auto"/>
        <w:ind w:right="-285" w:hanging="284"/>
        <w:jc w:val="both"/>
        <w:rPr>
          <w:rFonts w:ascii="Arial" w:eastAsia="Times New Roman" w:hAnsi="Arial" w:cs="Arial"/>
          <w:b/>
          <w:spacing w:val="-3"/>
          <w:sz w:val="20"/>
          <w:szCs w:val="20"/>
          <w:lang w:val="en-GB" w:eastAsia="hr-HR"/>
        </w:rPr>
      </w:pPr>
    </w:p>
    <w:p w14:paraId="60489B78" w14:textId="7969B3CF" w:rsidR="00F13DAE" w:rsidRPr="009A58D2" w:rsidRDefault="00F13DAE" w:rsidP="00F13DAE">
      <w:pPr>
        <w:tabs>
          <w:tab w:val="left" w:pos="4536"/>
        </w:tabs>
        <w:spacing w:after="0" w:line="240" w:lineRule="auto"/>
        <w:ind w:right="-285"/>
        <w:jc w:val="both"/>
        <w:rPr>
          <w:rFonts w:ascii="Arial" w:eastAsia="Times New Roman" w:hAnsi="Arial" w:cs="Arial"/>
          <w:spacing w:val="-3"/>
          <w:sz w:val="20"/>
          <w:szCs w:val="20"/>
          <w:lang w:val="en-GB" w:eastAsia="hr-HR"/>
        </w:rPr>
        <w:sectPr w:rsidR="00F13DAE" w:rsidRPr="009A58D2">
          <w:footerReference w:type="default" r:id="rId36"/>
          <w:pgSz w:w="11906" w:h="16838"/>
          <w:pgMar w:top="1417" w:right="1417" w:bottom="1417" w:left="1417" w:header="708" w:footer="708" w:gutter="0"/>
          <w:cols w:space="708"/>
          <w:docGrid w:linePitch="360"/>
        </w:sectPr>
      </w:pPr>
      <w:r w:rsidRPr="009A58D2">
        <w:rPr>
          <w:rFonts w:ascii="Arial" w:eastAsia="Times New Roman" w:hAnsi="Arial" w:cs="Arial"/>
          <w:spacing w:val="-3"/>
          <w:sz w:val="20"/>
          <w:szCs w:val="20"/>
          <w:lang w:val="en-GB" w:eastAsia="hr-HR"/>
        </w:rPr>
        <w:t>.</w:t>
      </w:r>
    </w:p>
    <w:p w14:paraId="4F705082" w14:textId="77777777" w:rsidR="004037B0" w:rsidRPr="00A24707" w:rsidRDefault="004037B0" w:rsidP="004037B0">
      <w:pPr>
        <w:tabs>
          <w:tab w:val="left" w:pos="-720"/>
        </w:tabs>
        <w:spacing w:after="0" w:line="240" w:lineRule="auto"/>
        <w:jc w:val="both"/>
        <w:rPr>
          <w:rFonts w:ascii="Arial" w:hAnsi="Arial" w:cs="Arial"/>
          <w:b/>
          <w:spacing w:val="-3"/>
          <w:sz w:val="20"/>
          <w:szCs w:val="20"/>
          <w:lang w:val="en-GB"/>
        </w:rPr>
      </w:pPr>
      <w:r w:rsidRPr="00A24707">
        <w:rPr>
          <w:rFonts w:ascii="Arial" w:hAnsi="Arial" w:cs="Arial"/>
          <w:b/>
          <w:spacing w:val="-3"/>
          <w:sz w:val="20"/>
          <w:szCs w:val="20"/>
          <w:lang w:val="en-GB"/>
        </w:rPr>
        <w:lastRenderedPageBreak/>
        <w:t>Significant changes in financial position</w:t>
      </w:r>
    </w:p>
    <w:p w14:paraId="22CD6DFC" w14:textId="77777777" w:rsidR="00422588" w:rsidRPr="00A24707" w:rsidRDefault="00422588">
      <w:pPr>
        <w:spacing w:after="0" w:line="240" w:lineRule="auto"/>
        <w:jc w:val="both"/>
        <w:rPr>
          <w:rFonts w:ascii="Arial" w:eastAsia="Times New Roman" w:hAnsi="Arial" w:cs="Arial"/>
          <w:spacing w:val="-3"/>
          <w:sz w:val="20"/>
          <w:szCs w:val="20"/>
          <w:lang w:val="en-GB" w:eastAsia="hr-HR"/>
        </w:rPr>
      </w:pPr>
    </w:p>
    <w:p w14:paraId="237D778E" w14:textId="4556354A" w:rsidR="000B6619" w:rsidRPr="001029F8" w:rsidRDefault="004037B0" w:rsidP="000B6619">
      <w:pPr>
        <w:spacing w:after="0" w:line="240" w:lineRule="auto"/>
        <w:jc w:val="both"/>
        <w:rPr>
          <w:rFonts w:ascii="Arial" w:hAnsi="Arial" w:cs="Arial"/>
          <w:spacing w:val="-3"/>
          <w:sz w:val="20"/>
          <w:szCs w:val="20"/>
          <w:lang w:val="en-GB"/>
        </w:rPr>
      </w:pPr>
      <w:r w:rsidRPr="00A24707">
        <w:rPr>
          <w:rFonts w:ascii="Arial" w:hAnsi="Arial" w:cs="Arial"/>
          <w:spacing w:val="-3"/>
          <w:sz w:val="20"/>
          <w:szCs w:val="20"/>
          <w:lang w:val="en-GB"/>
        </w:rPr>
        <w:t xml:space="preserve">Total assets of HBOR as </w:t>
      </w:r>
      <w:proofErr w:type="gramStart"/>
      <w:r w:rsidRPr="00A24707">
        <w:rPr>
          <w:rFonts w:ascii="Arial" w:hAnsi="Arial" w:cs="Arial"/>
          <w:spacing w:val="-3"/>
          <w:sz w:val="20"/>
          <w:szCs w:val="20"/>
          <w:lang w:val="en-GB"/>
        </w:rPr>
        <w:t>at</w:t>
      </w:r>
      <w:proofErr w:type="gramEnd"/>
      <w:r w:rsidRPr="00A24707">
        <w:rPr>
          <w:rFonts w:ascii="Arial" w:hAnsi="Arial" w:cs="Arial"/>
          <w:spacing w:val="-3"/>
          <w:sz w:val="20"/>
          <w:szCs w:val="20"/>
          <w:lang w:val="en-GB"/>
        </w:rPr>
        <w:t xml:space="preserve"> </w:t>
      </w:r>
      <w:r w:rsidR="00C5425F" w:rsidRPr="00A24707">
        <w:rPr>
          <w:rFonts w:ascii="Arial" w:hAnsi="Arial" w:cs="Arial"/>
          <w:spacing w:val="-3"/>
          <w:sz w:val="20"/>
          <w:szCs w:val="20"/>
          <w:lang w:val="en-GB"/>
        </w:rPr>
        <w:t>3</w:t>
      </w:r>
      <w:r w:rsidR="005B0A31" w:rsidRPr="00A24707">
        <w:rPr>
          <w:rFonts w:ascii="Arial" w:hAnsi="Arial" w:cs="Arial"/>
          <w:spacing w:val="-3"/>
          <w:sz w:val="20"/>
          <w:szCs w:val="20"/>
          <w:lang w:val="en-GB"/>
        </w:rPr>
        <w:t>0</w:t>
      </w:r>
      <w:r w:rsidRPr="00A24707">
        <w:rPr>
          <w:rFonts w:ascii="Arial" w:hAnsi="Arial" w:cs="Arial"/>
          <w:spacing w:val="-3"/>
          <w:sz w:val="20"/>
          <w:szCs w:val="20"/>
          <w:lang w:val="en-GB"/>
        </w:rPr>
        <w:t xml:space="preserve"> </w:t>
      </w:r>
      <w:r w:rsidR="005B0A31" w:rsidRPr="00A24707">
        <w:rPr>
          <w:rFonts w:ascii="Arial" w:hAnsi="Arial" w:cs="Arial"/>
          <w:spacing w:val="-3"/>
          <w:sz w:val="20"/>
          <w:szCs w:val="20"/>
          <w:lang w:val="en-GB"/>
        </w:rPr>
        <w:t>June</w:t>
      </w:r>
      <w:r w:rsidRPr="00A24707">
        <w:rPr>
          <w:rFonts w:ascii="Arial" w:hAnsi="Arial" w:cs="Arial"/>
          <w:spacing w:val="-3"/>
          <w:sz w:val="20"/>
          <w:szCs w:val="20"/>
          <w:lang w:val="en-GB"/>
        </w:rPr>
        <w:t xml:space="preserve"> 20</w:t>
      </w:r>
      <w:r w:rsidR="004F726B" w:rsidRPr="00A24707">
        <w:rPr>
          <w:rFonts w:ascii="Arial" w:hAnsi="Arial" w:cs="Arial"/>
          <w:spacing w:val="-3"/>
          <w:sz w:val="20"/>
          <w:szCs w:val="20"/>
          <w:lang w:val="en-GB"/>
        </w:rPr>
        <w:t>2</w:t>
      </w:r>
      <w:r w:rsidR="00C778E0">
        <w:rPr>
          <w:rFonts w:ascii="Arial" w:hAnsi="Arial" w:cs="Arial"/>
          <w:spacing w:val="-3"/>
          <w:sz w:val="20"/>
          <w:szCs w:val="20"/>
          <w:lang w:val="en-GB"/>
        </w:rPr>
        <w:t>5</w:t>
      </w:r>
      <w:r w:rsidRPr="00A24707">
        <w:rPr>
          <w:rFonts w:ascii="Arial" w:hAnsi="Arial" w:cs="Arial"/>
          <w:spacing w:val="-3"/>
          <w:sz w:val="20"/>
          <w:szCs w:val="20"/>
          <w:lang w:val="en-GB"/>
        </w:rPr>
        <w:t xml:space="preserve"> amounted to </w:t>
      </w:r>
      <w:r w:rsidR="00BE7D68">
        <w:rPr>
          <w:rFonts w:ascii="Arial" w:hAnsi="Arial" w:cs="Arial"/>
          <w:spacing w:val="-3"/>
          <w:sz w:val="20"/>
          <w:szCs w:val="20"/>
          <w:lang w:val="en-GB"/>
        </w:rPr>
        <w:t xml:space="preserve">EUR </w:t>
      </w:r>
      <w:r w:rsidR="005C184F">
        <w:rPr>
          <w:rFonts w:ascii="Arial" w:hAnsi="Arial" w:cs="Arial"/>
          <w:spacing w:val="-3"/>
          <w:sz w:val="20"/>
          <w:szCs w:val="20"/>
          <w:lang w:val="en-GB"/>
        </w:rPr>
        <w:t>3</w:t>
      </w:r>
      <w:r w:rsidR="00BE7D68">
        <w:rPr>
          <w:rFonts w:ascii="Arial" w:hAnsi="Arial" w:cs="Arial"/>
          <w:spacing w:val="-3"/>
          <w:sz w:val="20"/>
          <w:szCs w:val="20"/>
          <w:lang w:val="en-GB"/>
        </w:rPr>
        <w:t>,</w:t>
      </w:r>
      <w:r w:rsidR="005C184F">
        <w:rPr>
          <w:rFonts w:ascii="Arial" w:hAnsi="Arial" w:cs="Arial"/>
          <w:spacing w:val="-3"/>
          <w:sz w:val="20"/>
          <w:szCs w:val="20"/>
          <w:lang w:val="en-GB"/>
        </w:rPr>
        <w:t>981</w:t>
      </w:r>
      <w:r w:rsidR="00BE7D68">
        <w:rPr>
          <w:rFonts w:ascii="Arial" w:hAnsi="Arial" w:cs="Arial"/>
          <w:spacing w:val="-3"/>
          <w:sz w:val="20"/>
          <w:szCs w:val="20"/>
          <w:lang w:val="en-GB"/>
        </w:rPr>
        <w:t>.</w:t>
      </w:r>
      <w:r w:rsidR="005C184F">
        <w:rPr>
          <w:rFonts w:ascii="Arial" w:hAnsi="Arial" w:cs="Arial"/>
          <w:spacing w:val="-3"/>
          <w:sz w:val="20"/>
          <w:szCs w:val="20"/>
          <w:lang w:val="en-GB"/>
        </w:rPr>
        <w:t>9</w:t>
      </w:r>
      <w:r w:rsidR="00810A4B" w:rsidRPr="00A24707">
        <w:rPr>
          <w:rFonts w:ascii="Arial" w:hAnsi="Arial" w:cs="Arial"/>
          <w:spacing w:val="-3"/>
          <w:sz w:val="20"/>
          <w:szCs w:val="20"/>
          <w:lang w:val="en-GB"/>
        </w:rPr>
        <w:t xml:space="preserve"> mil</w:t>
      </w:r>
      <w:r w:rsidRPr="00A24707">
        <w:rPr>
          <w:rFonts w:ascii="Arial" w:hAnsi="Arial" w:cs="Arial"/>
          <w:spacing w:val="-3"/>
          <w:sz w:val="20"/>
          <w:szCs w:val="20"/>
          <w:lang w:val="en-GB"/>
        </w:rPr>
        <w:t xml:space="preserve">lion </w:t>
      </w:r>
      <w:r w:rsidR="000B6619" w:rsidRPr="001029F8">
        <w:rPr>
          <w:rFonts w:ascii="Arial" w:hAnsi="Arial" w:cs="Arial"/>
          <w:spacing w:val="-3"/>
          <w:sz w:val="20"/>
          <w:szCs w:val="20"/>
          <w:lang w:val="en-GB"/>
        </w:rPr>
        <w:t>and</w:t>
      </w:r>
      <w:r w:rsidR="000B6619">
        <w:rPr>
          <w:rFonts w:ascii="Arial" w:hAnsi="Arial" w:cs="Arial"/>
          <w:spacing w:val="-3"/>
          <w:sz w:val="20"/>
          <w:szCs w:val="20"/>
          <w:lang w:val="en-GB"/>
        </w:rPr>
        <w:t xml:space="preserve"> were</w:t>
      </w:r>
      <w:r w:rsidR="000B6619" w:rsidRPr="001029F8">
        <w:rPr>
          <w:rFonts w:ascii="Arial" w:hAnsi="Arial" w:cs="Arial"/>
          <w:spacing w:val="-3"/>
          <w:sz w:val="20"/>
          <w:szCs w:val="20"/>
          <w:lang w:val="en-GB"/>
        </w:rPr>
        <w:t xml:space="preserve"> retained at the level from the beginning of the year. </w:t>
      </w:r>
    </w:p>
    <w:p w14:paraId="131BD27C" w14:textId="77777777" w:rsidR="000B6619" w:rsidRDefault="000B6619" w:rsidP="00C802B6">
      <w:pPr>
        <w:spacing w:after="0" w:line="240" w:lineRule="auto"/>
        <w:jc w:val="both"/>
        <w:rPr>
          <w:rFonts w:ascii="Arial" w:eastAsia="Times New Roman" w:hAnsi="Arial" w:cs="Arial"/>
          <w:b/>
          <w:i/>
          <w:sz w:val="20"/>
          <w:szCs w:val="20"/>
          <w:lang w:val="en-GB" w:eastAsia="hr-HR"/>
        </w:rPr>
      </w:pPr>
    </w:p>
    <w:p w14:paraId="02174B58" w14:textId="77A86AF3" w:rsidR="00C802B6" w:rsidRPr="00A24707" w:rsidRDefault="00C802B6" w:rsidP="00C802B6">
      <w:pPr>
        <w:spacing w:after="0" w:line="240" w:lineRule="auto"/>
        <w:jc w:val="both"/>
        <w:rPr>
          <w:rFonts w:ascii="Arial" w:eastAsia="Times New Roman" w:hAnsi="Arial" w:cs="Arial"/>
          <w:b/>
          <w:i/>
          <w:sz w:val="20"/>
          <w:szCs w:val="20"/>
          <w:lang w:val="en-GB" w:eastAsia="hr-HR"/>
        </w:rPr>
      </w:pPr>
      <w:r w:rsidRPr="00A24707">
        <w:rPr>
          <w:rFonts w:ascii="Arial" w:eastAsia="Times New Roman" w:hAnsi="Arial" w:cs="Arial"/>
          <w:b/>
          <w:i/>
          <w:sz w:val="20"/>
          <w:szCs w:val="20"/>
          <w:lang w:val="en-GB" w:eastAsia="hr-HR"/>
        </w:rPr>
        <w:t xml:space="preserve">Cash on hand and deposits with other </w:t>
      </w:r>
      <w:proofErr w:type="gramStart"/>
      <w:r w:rsidRPr="00A24707">
        <w:rPr>
          <w:rFonts w:ascii="Arial" w:eastAsia="Times New Roman" w:hAnsi="Arial" w:cs="Arial"/>
          <w:b/>
          <w:i/>
          <w:sz w:val="20"/>
          <w:szCs w:val="20"/>
          <w:lang w:val="en-GB" w:eastAsia="hr-HR"/>
        </w:rPr>
        <w:t>banks</w:t>
      </w:r>
      <w:proofErr w:type="gramEnd"/>
      <w:r w:rsidRPr="00A24707">
        <w:rPr>
          <w:rFonts w:ascii="Arial" w:eastAsia="Times New Roman" w:hAnsi="Arial" w:cs="Arial"/>
          <w:b/>
          <w:i/>
          <w:sz w:val="20"/>
          <w:szCs w:val="20"/>
          <w:lang w:val="en-GB" w:eastAsia="hr-HR"/>
        </w:rPr>
        <w:t xml:space="preserve"> </w:t>
      </w:r>
    </w:p>
    <w:p w14:paraId="52B2157B" w14:textId="77777777" w:rsidR="007667DB" w:rsidRPr="00A24707" w:rsidRDefault="007667DB" w:rsidP="00602844">
      <w:pPr>
        <w:spacing w:after="0" w:line="240" w:lineRule="auto"/>
        <w:jc w:val="both"/>
        <w:rPr>
          <w:rFonts w:ascii="Arial" w:eastAsia="Times New Roman" w:hAnsi="Arial" w:cs="Arial"/>
          <w:b/>
          <w:sz w:val="20"/>
          <w:szCs w:val="20"/>
          <w:lang w:val="en-GB" w:eastAsia="hr-HR"/>
        </w:rPr>
      </w:pPr>
    </w:p>
    <w:p w14:paraId="5878CB17" w14:textId="2D4D4DE1" w:rsidR="00F239E0" w:rsidRPr="00164B46" w:rsidRDefault="00C802B6" w:rsidP="00F239E0">
      <w:pPr>
        <w:spacing w:after="0" w:line="240" w:lineRule="auto"/>
        <w:jc w:val="both"/>
        <w:rPr>
          <w:rFonts w:ascii="Arial" w:hAnsi="Arial" w:cs="Arial"/>
          <w:sz w:val="20"/>
          <w:szCs w:val="20"/>
          <w:lang w:val="en-GB"/>
        </w:rPr>
      </w:pPr>
      <w:r w:rsidRPr="00A24707">
        <w:rPr>
          <w:rFonts w:ascii="Arial" w:hAnsi="Arial" w:cs="Arial"/>
          <w:sz w:val="20"/>
          <w:szCs w:val="20"/>
          <w:lang w:val="en-GB"/>
        </w:rPr>
        <w:t xml:space="preserve">As </w:t>
      </w:r>
      <w:proofErr w:type="gramStart"/>
      <w:r w:rsidRPr="00A24707">
        <w:rPr>
          <w:rFonts w:ascii="Arial" w:hAnsi="Arial" w:cs="Arial"/>
          <w:sz w:val="20"/>
          <w:szCs w:val="20"/>
          <w:lang w:val="en-GB"/>
        </w:rPr>
        <w:t>at</w:t>
      </w:r>
      <w:proofErr w:type="gramEnd"/>
      <w:r w:rsidRPr="00A24707">
        <w:rPr>
          <w:rFonts w:ascii="Arial" w:hAnsi="Arial" w:cs="Arial"/>
          <w:sz w:val="20"/>
          <w:szCs w:val="20"/>
          <w:lang w:val="en-GB"/>
        </w:rPr>
        <w:t xml:space="preserve"> 3</w:t>
      </w:r>
      <w:r w:rsidR="005B0A31" w:rsidRPr="00A24707">
        <w:rPr>
          <w:rFonts w:ascii="Arial" w:hAnsi="Arial" w:cs="Arial"/>
          <w:sz w:val="20"/>
          <w:szCs w:val="20"/>
          <w:lang w:val="en-GB"/>
        </w:rPr>
        <w:t>0</w:t>
      </w:r>
      <w:r w:rsidRPr="00A24707">
        <w:rPr>
          <w:rFonts w:ascii="Arial" w:hAnsi="Arial" w:cs="Arial"/>
          <w:sz w:val="20"/>
          <w:szCs w:val="20"/>
          <w:lang w:val="en-GB"/>
        </w:rPr>
        <w:t xml:space="preserve"> </w:t>
      </w:r>
      <w:r w:rsidR="005B0A31" w:rsidRPr="00A24707">
        <w:rPr>
          <w:rFonts w:ascii="Arial" w:hAnsi="Arial" w:cs="Arial"/>
          <w:sz w:val="20"/>
          <w:szCs w:val="20"/>
          <w:lang w:val="en-GB"/>
        </w:rPr>
        <w:t>June</w:t>
      </w:r>
      <w:r w:rsidRPr="00A24707">
        <w:rPr>
          <w:rFonts w:ascii="Arial" w:hAnsi="Arial" w:cs="Arial"/>
          <w:sz w:val="20"/>
          <w:szCs w:val="20"/>
          <w:lang w:val="en-GB"/>
        </w:rPr>
        <w:t xml:space="preserve"> 20</w:t>
      </w:r>
      <w:r w:rsidR="004F726B" w:rsidRPr="00A24707">
        <w:rPr>
          <w:rFonts w:ascii="Arial" w:hAnsi="Arial" w:cs="Arial"/>
          <w:sz w:val="20"/>
          <w:szCs w:val="20"/>
          <w:lang w:val="en-GB"/>
        </w:rPr>
        <w:t>2</w:t>
      </w:r>
      <w:r w:rsidR="005C184F">
        <w:rPr>
          <w:rFonts w:ascii="Arial" w:hAnsi="Arial" w:cs="Arial"/>
          <w:sz w:val="20"/>
          <w:szCs w:val="20"/>
          <w:lang w:val="en-GB"/>
        </w:rPr>
        <w:t>5</w:t>
      </w:r>
      <w:r w:rsidRPr="00A24707">
        <w:rPr>
          <w:rFonts w:ascii="Arial" w:hAnsi="Arial" w:cs="Arial"/>
          <w:sz w:val="20"/>
          <w:szCs w:val="20"/>
          <w:lang w:val="en-GB"/>
        </w:rPr>
        <w:t xml:space="preserve">, cash on hand and deposits with other banks </w:t>
      </w:r>
      <w:r w:rsidR="00F239E0" w:rsidRPr="00164B46">
        <w:rPr>
          <w:rFonts w:ascii="Arial" w:hAnsi="Arial" w:cs="Arial"/>
          <w:sz w:val="20"/>
          <w:szCs w:val="20"/>
          <w:lang w:val="en-GB"/>
        </w:rPr>
        <w:t xml:space="preserve">amounted to </w:t>
      </w:r>
      <w:r w:rsidR="00F239E0">
        <w:rPr>
          <w:rFonts w:ascii="Arial" w:hAnsi="Arial" w:cs="Arial"/>
          <w:sz w:val="20"/>
          <w:szCs w:val="20"/>
          <w:lang w:val="en-GB"/>
        </w:rPr>
        <w:t>EUR</w:t>
      </w:r>
      <w:r w:rsidR="00F239E0" w:rsidRPr="00164B46">
        <w:rPr>
          <w:rFonts w:ascii="Arial" w:hAnsi="Arial" w:cs="Arial"/>
          <w:sz w:val="20"/>
          <w:szCs w:val="20"/>
          <w:lang w:val="en-GB"/>
        </w:rPr>
        <w:t xml:space="preserve"> </w:t>
      </w:r>
      <w:r w:rsidR="00F239E0">
        <w:rPr>
          <w:rFonts w:ascii="Arial" w:hAnsi="Arial" w:cs="Arial"/>
          <w:sz w:val="20"/>
          <w:szCs w:val="20"/>
          <w:lang w:val="en-GB"/>
        </w:rPr>
        <w:t>1</w:t>
      </w:r>
      <w:r w:rsidR="005C184F">
        <w:rPr>
          <w:rFonts w:ascii="Arial" w:hAnsi="Arial" w:cs="Arial"/>
          <w:sz w:val="20"/>
          <w:szCs w:val="20"/>
          <w:lang w:val="en-GB"/>
        </w:rPr>
        <w:t>4</w:t>
      </w:r>
      <w:r w:rsidR="000B6619">
        <w:rPr>
          <w:rFonts w:ascii="Arial" w:hAnsi="Arial" w:cs="Arial"/>
          <w:sz w:val="20"/>
          <w:szCs w:val="20"/>
          <w:lang w:val="en-GB"/>
        </w:rPr>
        <w:t>2</w:t>
      </w:r>
      <w:r w:rsidR="00F239E0">
        <w:rPr>
          <w:rFonts w:ascii="Arial" w:hAnsi="Arial" w:cs="Arial"/>
          <w:sz w:val="20"/>
          <w:szCs w:val="20"/>
          <w:lang w:val="en-GB"/>
        </w:rPr>
        <w:t>.</w:t>
      </w:r>
      <w:r w:rsidR="005C184F">
        <w:rPr>
          <w:rFonts w:ascii="Arial" w:hAnsi="Arial" w:cs="Arial"/>
          <w:sz w:val="20"/>
          <w:szCs w:val="20"/>
          <w:lang w:val="en-GB"/>
        </w:rPr>
        <w:t>2</w:t>
      </w:r>
      <w:r w:rsidR="00F239E0" w:rsidRPr="00164B46">
        <w:rPr>
          <w:rFonts w:ascii="Arial" w:hAnsi="Arial" w:cs="Arial"/>
          <w:sz w:val="20"/>
          <w:szCs w:val="20"/>
          <w:lang w:val="en-GB"/>
        </w:rPr>
        <w:t xml:space="preserve"> million representing </w:t>
      </w:r>
      <w:r w:rsidR="00F239E0">
        <w:rPr>
          <w:rFonts w:ascii="Arial" w:hAnsi="Arial" w:cs="Arial"/>
          <w:sz w:val="20"/>
          <w:szCs w:val="20"/>
          <w:lang w:val="en-GB"/>
        </w:rPr>
        <w:t>3</w:t>
      </w:r>
      <w:r w:rsidR="002E5A66">
        <w:rPr>
          <w:rFonts w:ascii="Arial" w:hAnsi="Arial" w:cs="Arial"/>
          <w:sz w:val="20"/>
          <w:szCs w:val="20"/>
          <w:lang w:val="en-GB"/>
        </w:rPr>
        <w:t>.</w:t>
      </w:r>
      <w:r w:rsidR="005C184F">
        <w:rPr>
          <w:rFonts w:ascii="Arial" w:hAnsi="Arial" w:cs="Arial"/>
          <w:sz w:val="20"/>
          <w:szCs w:val="20"/>
          <w:lang w:val="en-GB"/>
        </w:rPr>
        <w:t>6</w:t>
      </w:r>
      <w:r w:rsidR="00F239E0" w:rsidRPr="00164B46">
        <w:rPr>
          <w:rFonts w:ascii="Arial" w:hAnsi="Arial" w:cs="Arial"/>
          <w:sz w:val="20"/>
          <w:szCs w:val="20"/>
          <w:lang w:val="en-GB"/>
        </w:rPr>
        <w:t xml:space="preserve"> percent of total assets, a</w:t>
      </w:r>
      <w:r w:rsidR="000B6619">
        <w:rPr>
          <w:rFonts w:ascii="Arial" w:hAnsi="Arial" w:cs="Arial"/>
          <w:sz w:val="20"/>
          <w:szCs w:val="20"/>
          <w:lang w:val="en-GB"/>
        </w:rPr>
        <w:t>n</w:t>
      </w:r>
      <w:r w:rsidR="00F239E0" w:rsidRPr="00164B46">
        <w:rPr>
          <w:rFonts w:ascii="Arial" w:hAnsi="Arial" w:cs="Arial"/>
          <w:sz w:val="20"/>
          <w:szCs w:val="20"/>
          <w:lang w:val="en-GB"/>
        </w:rPr>
        <w:t xml:space="preserve"> </w:t>
      </w:r>
      <w:r w:rsidR="000B6619">
        <w:rPr>
          <w:rFonts w:ascii="Arial" w:hAnsi="Arial" w:cs="Arial"/>
          <w:sz w:val="20"/>
          <w:szCs w:val="20"/>
          <w:lang w:val="en-GB"/>
        </w:rPr>
        <w:t>in</w:t>
      </w:r>
      <w:r w:rsidR="00F239E0" w:rsidRPr="00164B46">
        <w:rPr>
          <w:rFonts w:ascii="Arial" w:hAnsi="Arial" w:cs="Arial"/>
          <w:sz w:val="20"/>
          <w:szCs w:val="20"/>
          <w:lang w:val="en-GB"/>
        </w:rPr>
        <w:t xml:space="preserve">crease of </w:t>
      </w:r>
      <w:r w:rsidR="002F7D98">
        <w:rPr>
          <w:rFonts w:ascii="Arial" w:hAnsi="Arial" w:cs="Arial"/>
          <w:sz w:val="20"/>
          <w:szCs w:val="20"/>
          <w:lang w:val="en-GB"/>
        </w:rPr>
        <w:t>4</w:t>
      </w:r>
      <w:r w:rsidR="000B6619">
        <w:rPr>
          <w:rFonts w:ascii="Arial" w:hAnsi="Arial" w:cs="Arial"/>
          <w:sz w:val="20"/>
          <w:szCs w:val="20"/>
          <w:lang w:val="en-GB"/>
        </w:rPr>
        <w:t>.</w:t>
      </w:r>
      <w:r w:rsidR="002F7D98">
        <w:rPr>
          <w:rFonts w:ascii="Arial" w:hAnsi="Arial" w:cs="Arial"/>
          <w:sz w:val="20"/>
          <w:szCs w:val="20"/>
          <w:lang w:val="en-GB"/>
        </w:rPr>
        <w:t>6</w:t>
      </w:r>
      <w:r w:rsidR="00F239E0" w:rsidRPr="00164B46">
        <w:rPr>
          <w:rFonts w:ascii="Arial" w:hAnsi="Arial" w:cs="Arial"/>
          <w:sz w:val="20"/>
          <w:szCs w:val="20"/>
          <w:lang w:val="en-GB"/>
        </w:rPr>
        <w:t xml:space="preserve"> percent compared with 31 December 202</w:t>
      </w:r>
      <w:r w:rsidR="002F7D98">
        <w:rPr>
          <w:rFonts w:ascii="Arial" w:hAnsi="Arial" w:cs="Arial"/>
          <w:sz w:val="20"/>
          <w:szCs w:val="20"/>
          <w:lang w:val="en-GB"/>
        </w:rPr>
        <w:t>4</w:t>
      </w:r>
      <w:r w:rsidR="00F239E0" w:rsidRPr="00164B46">
        <w:rPr>
          <w:rFonts w:ascii="Arial" w:hAnsi="Arial" w:cs="Arial"/>
          <w:sz w:val="20"/>
          <w:szCs w:val="20"/>
          <w:lang w:val="en-GB"/>
        </w:rPr>
        <w:t xml:space="preserve"> as a result of reallocation of liquidity reserve funds.</w:t>
      </w:r>
    </w:p>
    <w:p w14:paraId="2E984A4D" w14:textId="77777777" w:rsidR="00192D81" w:rsidRPr="00A24707" w:rsidRDefault="00192D81" w:rsidP="00602844">
      <w:pPr>
        <w:spacing w:after="0" w:line="240" w:lineRule="auto"/>
        <w:jc w:val="both"/>
        <w:rPr>
          <w:rFonts w:ascii="Arial" w:eastAsia="Times New Roman" w:hAnsi="Arial" w:cs="Arial"/>
          <w:sz w:val="20"/>
          <w:szCs w:val="20"/>
          <w:lang w:val="en-GB" w:eastAsia="hr-HR"/>
        </w:rPr>
      </w:pPr>
    </w:p>
    <w:p w14:paraId="4A9DBD5D" w14:textId="77777777" w:rsidR="00B77DB9" w:rsidRPr="00A24707" w:rsidRDefault="00B77DB9" w:rsidP="00B77DB9">
      <w:pPr>
        <w:spacing w:after="0" w:line="240" w:lineRule="auto"/>
        <w:jc w:val="both"/>
        <w:rPr>
          <w:rFonts w:ascii="Arial" w:eastAsia="Times New Roman" w:hAnsi="Arial" w:cs="Arial"/>
          <w:b/>
          <w:i/>
          <w:sz w:val="20"/>
          <w:szCs w:val="20"/>
          <w:lang w:val="en-GB" w:eastAsia="hr-HR"/>
        </w:rPr>
      </w:pPr>
      <w:r w:rsidRPr="00A24707">
        <w:rPr>
          <w:rFonts w:ascii="Arial" w:eastAsia="Times New Roman" w:hAnsi="Arial" w:cs="Arial"/>
          <w:b/>
          <w:i/>
          <w:sz w:val="20"/>
          <w:szCs w:val="20"/>
          <w:lang w:val="en-GB" w:eastAsia="hr-HR"/>
        </w:rPr>
        <w:t xml:space="preserve">Loans to financial institutions and other customers </w:t>
      </w:r>
    </w:p>
    <w:p w14:paraId="207687FB" w14:textId="77777777" w:rsidR="00B57DFA" w:rsidRPr="00A24707" w:rsidRDefault="00B57DFA" w:rsidP="00FF28FF">
      <w:pPr>
        <w:spacing w:after="0" w:line="240" w:lineRule="auto"/>
        <w:jc w:val="both"/>
        <w:rPr>
          <w:rFonts w:ascii="Arial" w:eastAsia="Times New Roman" w:hAnsi="Arial" w:cs="Arial"/>
          <w:sz w:val="20"/>
          <w:szCs w:val="20"/>
          <w:lang w:val="en-GB" w:eastAsia="hr-HR"/>
        </w:rPr>
      </w:pPr>
    </w:p>
    <w:p w14:paraId="503C5ED0" w14:textId="0C273D6C" w:rsidR="000B6619" w:rsidRPr="001029F8" w:rsidRDefault="00B77DB9" w:rsidP="000B6619">
      <w:pPr>
        <w:spacing w:after="0" w:line="240" w:lineRule="auto"/>
        <w:jc w:val="both"/>
        <w:rPr>
          <w:rFonts w:ascii="Arial" w:hAnsi="Arial" w:cs="Arial"/>
          <w:spacing w:val="-3"/>
          <w:sz w:val="20"/>
          <w:szCs w:val="20"/>
          <w:lang w:val="en-GB"/>
        </w:rPr>
      </w:pPr>
      <w:r w:rsidRPr="00A24707">
        <w:rPr>
          <w:rFonts w:ascii="Arial" w:hAnsi="Arial" w:cs="Arial"/>
          <w:spacing w:val="-3"/>
          <w:sz w:val="20"/>
          <w:szCs w:val="20"/>
          <w:lang w:val="en-GB"/>
        </w:rPr>
        <w:t xml:space="preserve">As </w:t>
      </w:r>
      <w:proofErr w:type="gramStart"/>
      <w:r w:rsidRPr="00A24707">
        <w:rPr>
          <w:rFonts w:ascii="Arial" w:hAnsi="Arial" w:cs="Arial"/>
          <w:spacing w:val="-3"/>
          <w:sz w:val="20"/>
          <w:szCs w:val="20"/>
          <w:lang w:val="en-GB"/>
        </w:rPr>
        <w:t>at</w:t>
      </w:r>
      <w:proofErr w:type="gramEnd"/>
      <w:r w:rsidRPr="00A24707">
        <w:rPr>
          <w:rFonts w:ascii="Arial" w:hAnsi="Arial" w:cs="Arial"/>
          <w:spacing w:val="-3"/>
          <w:sz w:val="20"/>
          <w:szCs w:val="20"/>
          <w:lang w:val="en-GB"/>
        </w:rPr>
        <w:t xml:space="preserve"> 3</w:t>
      </w:r>
      <w:r w:rsidR="00D83EB3" w:rsidRPr="00A24707">
        <w:rPr>
          <w:rFonts w:ascii="Arial" w:hAnsi="Arial" w:cs="Arial"/>
          <w:spacing w:val="-3"/>
          <w:sz w:val="20"/>
          <w:szCs w:val="20"/>
          <w:lang w:val="en-GB"/>
        </w:rPr>
        <w:t>0</w:t>
      </w:r>
      <w:r w:rsidRPr="00A24707">
        <w:rPr>
          <w:rFonts w:ascii="Arial" w:hAnsi="Arial" w:cs="Arial"/>
          <w:spacing w:val="-3"/>
          <w:sz w:val="20"/>
          <w:szCs w:val="20"/>
          <w:lang w:val="en-GB"/>
        </w:rPr>
        <w:t xml:space="preserve"> </w:t>
      </w:r>
      <w:r w:rsidR="00D83EB3" w:rsidRPr="00A24707">
        <w:rPr>
          <w:rFonts w:ascii="Arial" w:hAnsi="Arial" w:cs="Arial"/>
          <w:spacing w:val="-3"/>
          <w:sz w:val="20"/>
          <w:szCs w:val="20"/>
          <w:lang w:val="en-GB"/>
        </w:rPr>
        <w:t>June</w:t>
      </w:r>
      <w:r w:rsidRPr="00A24707">
        <w:rPr>
          <w:rFonts w:ascii="Arial" w:hAnsi="Arial" w:cs="Arial"/>
          <w:spacing w:val="-3"/>
          <w:sz w:val="20"/>
          <w:szCs w:val="20"/>
          <w:lang w:val="en-GB"/>
        </w:rPr>
        <w:t xml:space="preserve"> 20</w:t>
      </w:r>
      <w:r w:rsidR="00B6799C" w:rsidRPr="00A24707">
        <w:rPr>
          <w:rFonts w:ascii="Arial" w:hAnsi="Arial" w:cs="Arial"/>
          <w:spacing w:val="-3"/>
          <w:sz w:val="20"/>
          <w:szCs w:val="20"/>
          <w:lang w:val="en-GB"/>
        </w:rPr>
        <w:t>2</w:t>
      </w:r>
      <w:r w:rsidR="002F7D98">
        <w:rPr>
          <w:rFonts w:ascii="Arial" w:hAnsi="Arial" w:cs="Arial"/>
          <w:spacing w:val="-3"/>
          <w:sz w:val="20"/>
          <w:szCs w:val="20"/>
          <w:lang w:val="en-GB"/>
        </w:rPr>
        <w:t>5</w:t>
      </w:r>
      <w:r w:rsidRPr="00A24707">
        <w:rPr>
          <w:rFonts w:ascii="Arial" w:hAnsi="Arial" w:cs="Arial"/>
          <w:spacing w:val="-3"/>
          <w:sz w:val="20"/>
          <w:szCs w:val="20"/>
          <w:lang w:val="en-GB"/>
        </w:rPr>
        <w:t xml:space="preserve">, total net loans </w:t>
      </w:r>
      <w:r w:rsidR="00DE49F6" w:rsidRPr="00164B46">
        <w:rPr>
          <w:rFonts w:ascii="Arial" w:hAnsi="Arial" w:cs="Arial"/>
          <w:spacing w:val="-3"/>
          <w:sz w:val="20"/>
          <w:szCs w:val="20"/>
          <w:lang w:val="en-GB"/>
        </w:rPr>
        <w:t xml:space="preserve">amounted to </w:t>
      </w:r>
      <w:r w:rsidR="00DE49F6">
        <w:rPr>
          <w:rFonts w:ascii="Arial" w:hAnsi="Arial" w:cs="Arial"/>
          <w:spacing w:val="-3"/>
          <w:sz w:val="20"/>
          <w:szCs w:val="20"/>
          <w:lang w:val="en-GB"/>
        </w:rPr>
        <w:t>EUR 3,</w:t>
      </w:r>
      <w:r w:rsidR="002F7D98">
        <w:rPr>
          <w:rFonts w:ascii="Arial" w:hAnsi="Arial" w:cs="Arial"/>
          <w:spacing w:val="-3"/>
          <w:sz w:val="20"/>
          <w:szCs w:val="20"/>
          <w:lang w:val="en-GB"/>
        </w:rPr>
        <w:t>477</w:t>
      </w:r>
      <w:r w:rsidR="000B6619">
        <w:rPr>
          <w:rFonts w:ascii="Arial" w:hAnsi="Arial" w:cs="Arial"/>
          <w:spacing w:val="-3"/>
          <w:sz w:val="20"/>
          <w:szCs w:val="20"/>
          <w:lang w:val="en-GB"/>
        </w:rPr>
        <w:t>.</w:t>
      </w:r>
      <w:r w:rsidR="002F7D98">
        <w:rPr>
          <w:rFonts w:ascii="Arial" w:hAnsi="Arial" w:cs="Arial"/>
          <w:spacing w:val="-3"/>
          <w:sz w:val="20"/>
          <w:szCs w:val="20"/>
          <w:lang w:val="en-GB"/>
        </w:rPr>
        <w:t>0</w:t>
      </w:r>
      <w:r w:rsidR="00DE49F6" w:rsidRPr="00164B46">
        <w:rPr>
          <w:rFonts w:ascii="Arial" w:hAnsi="Arial" w:cs="Arial"/>
          <w:spacing w:val="-3"/>
          <w:sz w:val="20"/>
          <w:szCs w:val="20"/>
          <w:lang w:val="en-GB"/>
        </w:rPr>
        <w:t xml:space="preserve"> million representing 8</w:t>
      </w:r>
      <w:r w:rsidR="002F7D98">
        <w:rPr>
          <w:rFonts w:ascii="Arial" w:hAnsi="Arial" w:cs="Arial"/>
          <w:spacing w:val="-3"/>
          <w:sz w:val="20"/>
          <w:szCs w:val="20"/>
          <w:lang w:val="en-GB"/>
        </w:rPr>
        <w:t>7</w:t>
      </w:r>
      <w:r w:rsidR="00DE49F6" w:rsidRPr="00164B46">
        <w:rPr>
          <w:rFonts w:ascii="Arial" w:hAnsi="Arial" w:cs="Arial"/>
          <w:spacing w:val="-3"/>
          <w:sz w:val="20"/>
          <w:szCs w:val="20"/>
          <w:lang w:val="en-GB"/>
        </w:rPr>
        <w:t>.</w:t>
      </w:r>
      <w:r w:rsidR="002F7D98">
        <w:rPr>
          <w:rFonts w:ascii="Arial" w:hAnsi="Arial" w:cs="Arial"/>
          <w:spacing w:val="-3"/>
          <w:sz w:val="20"/>
          <w:szCs w:val="20"/>
          <w:lang w:val="en-GB"/>
        </w:rPr>
        <w:t>3</w:t>
      </w:r>
      <w:r w:rsidR="00DE49F6" w:rsidRPr="00164B46">
        <w:rPr>
          <w:rFonts w:ascii="Arial" w:hAnsi="Arial" w:cs="Arial"/>
          <w:spacing w:val="-3"/>
          <w:sz w:val="20"/>
          <w:szCs w:val="20"/>
          <w:lang w:val="en-GB"/>
        </w:rPr>
        <w:t xml:space="preserve"> percent of total assets</w:t>
      </w:r>
      <w:r w:rsidR="00345A17">
        <w:rPr>
          <w:rFonts w:ascii="Arial" w:hAnsi="Arial" w:cs="Arial"/>
          <w:spacing w:val="-3"/>
          <w:sz w:val="20"/>
          <w:szCs w:val="20"/>
          <w:lang w:val="en-GB"/>
        </w:rPr>
        <w:t xml:space="preserve">, </w:t>
      </w:r>
      <w:r w:rsidR="00230F2C">
        <w:rPr>
          <w:rFonts w:ascii="Arial" w:hAnsi="Arial" w:cs="Arial"/>
          <w:spacing w:val="-3"/>
          <w:sz w:val="20"/>
          <w:szCs w:val="20"/>
          <w:lang w:val="en-GB"/>
        </w:rPr>
        <w:t>a decrease 1.6 percent on the</w:t>
      </w:r>
      <w:r w:rsidR="000B6619" w:rsidRPr="001029F8">
        <w:rPr>
          <w:rFonts w:ascii="Arial" w:hAnsi="Arial" w:cs="Arial"/>
          <w:spacing w:val="-3"/>
          <w:sz w:val="20"/>
          <w:szCs w:val="20"/>
          <w:lang w:val="en-GB"/>
        </w:rPr>
        <w:t xml:space="preserve"> beginning of the year. </w:t>
      </w:r>
    </w:p>
    <w:p w14:paraId="7AE47DF9" w14:textId="77777777" w:rsidR="000B6619" w:rsidRDefault="000B6619" w:rsidP="000B6619">
      <w:pPr>
        <w:spacing w:after="0"/>
        <w:jc w:val="both"/>
        <w:rPr>
          <w:rFonts w:ascii="Arial" w:hAnsi="Arial" w:cs="Arial"/>
          <w:spacing w:val="-3"/>
          <w:sz w:val="20"/>
          <w:szCs w:val="20"/>
          <w:lang w:val="en-GB"/>
        </w:rPr>
      </w:pPr>
    </w:p>
    <w:p w14:paraId="1CFF56F4" w14:textId="633E8654" w:rsidR="005C198F" w:rsidRPr="005928D8" w:rsidRDefault="00DE49F6" w:rsidP="00AD54D1">
      <w:pPr>
        <w:spacing w:after="0"/>
        <w:jc w:val="both"/>
        <w:rPr>
          <w:rFonts w:ascii="Arial" w:hAnsi="Arial" w:cs="Arial"/>
          <w:color w:val="FF0000"/>
          <w:spacing w:val="-3"/>
          <w:sz w:val="20"/>
          <w:szCs w:val="20"/>
          <w:lang w:val="en-GB"/>
        </w:rPr>
      </w:pPr>
      <w:r w:rsidRPr="00164B46">
        <w:rPr>
          <w:rFonts w:ascii="Arial" w:hAnsi="Arial" w:cs="Arial"/>
          <w:spacing w:val="-3"/>
          <w:sz w:val="20"/>
          <w:szCs w:val="20"/>
          <w:lang w:val="en-GB"/>
        </w:rPr>
        <w:t xml:space="preserve">Total gross loans amounted to </w:t>
      </w:r>
      <w:r>
        <w:rPr>
          <w:rFonts w:ascii="Arial" w:hAnsi="Arial" w:cs="Arial"/>
          <w:spacing w:val="-3"/>
          <w:sz w:val="20"/>
          <w:szCs w:val="20"/>
          <w:lang w:val="en-GB"/>
        </w:rPr>
        <w:t xml:space="preserve">EUR </w:t>
      </w:r>
      <w:r w:rsidR="002E20F5">
        <w:rPr>
          <w:rFonts w:ascii="Arial" w:hAnsi="Arial" w:cs="Arial"/>
          <w:spacing w:val="-3"/>
          <w:sz w:val="20"/>
          <w:szCs w:val="20"/>
          <w:lang w:val="en-GB"/>
        </w:rPr>
        <w:t>3</w:t>
      </w:r>
      <w:r>
        <w:rPr>
          <w:rFonts w:ascii="Arial" w:hAnsi="Arial" w:cs="Arial"/>
          <w:spacing w:val="-3"/>
          <w:sz w:val="20"/>
          <w:szCs w:val="20"/>
          <w:lang w:val="en-GB"/>
        </w:rPr>
        <w:t>,</w:t>
      </w:r>
      <w:r w:rsidR="002E20F5">
        <w:rPr>
          <w:rFonts w:ascii="Arial" w:hAnsi="Arial" w:cs="Arial"/>
          <w:spacing w:val="-3"/>
          <w:sz w:val="20"/>
          <w:szCs w:val="20"/>
          <w:lang w:val="en-GB"/>
        </w:rPr>
        <w:t>930</w:t>
      </w:r>
      <w:r w:rsidR="001C4AAD">
        <w:rPr>
          <w:rFonts w:ascii="Arial" w:hAnsi="Arial" w:cs="Arial"/>
          <w:spacing w:val="-3"/>
          <w:sz w:val="20"/>
          <w:szCs w:val="20"/>
          <w:lang w:val="en-GB"/>
        </w:rPr>
        <w:t>.</w:t>
      </w:r>
      <w:r w:rsidR="002E20F5">
        <w:rPr>
          <w:rFonts w:ascii="Arial" w:hAnsi="Arial" w:cs="Arial"/>
          <w:spacing w:val="-3"/>
          <w:sz w:val="20"/>
          <w:szCs w:val="20"/>
          <w:lang w:val="en-GB"/>
        </w:rPr>
        <w:t>7</w:t>
      </w:r>
      <w:r w:rsidRPr="00164B46">
        <w:rPr>
          <w:rFonts w:ascii="Arial" w:hAnsi="Arial" w:cs="Arial"/>
          <w:spacing w:val="-3"/>
          <w:sz w:val="20"/>
          <w:szCs w:val="20"/>
          <w:lang w:val="en-GB"/>
        </w:rPr>
        <w:t xml:space="preserve"> million</w:t>
      </w:r>
      <w:r w:rsidR="002E20F5">
        <w:rPr>
          <w:rFonts w:ascii="Arial" w:hAnsi="Arial" w:cs="Arial"/>
          <w:spacing w:val="-3"/>
          <w:sz w:val="20"/>
          <w:szCs w:val="20"/>
          <w:lang w:val="en-GB"/>
        </w:rPr>
        <w:t>, a decrease 2.1 percen</w:t>
      </w:r>
      <w:r w:rsidR="001C4AAD" w:rsidRPr="001029F8">
        <w:rPr>
          <w:rFonts w:ascii="Arial" w:hAnsi="Arial" w:cs="Arial"/>
          <w:spacing w:val="-3"/>
          <w:sz w:val="20"/>
          <w:szCs w:val="20"/>
          <w:lang w:val="en-GB"/>
        </w:rPr>
        <w:t>t</w:t>
      </w:r>
      <w:r w:rsidR="002E20F5">
        <w:rPr>
          <w:rFonts w:ascii="Arial" w:hAnsi="Arial" w:cs="Arial"/>
          <w:spacing w:val="-3"/>
          <w:sz w:val="20"/>
          <w:szCs w:val="20"/>
          <w:lang w:val="en-GB"/>
        </w:rPr>
        <w:t xml:space="preserve"> on t</w:t>
      </w:r>
      <w:r w:rsidR="001C4AAD" w:rsidRPr="001029F8">
        <w:rPr>
          <w:rFonts w:ascii="Arial" w:hAnsi="Arial" w:cs="Arial"/>
          <w:spacing w:val="-3"/>
          <w:sz w:val="20"/>
          <w:szCs w:val="20"/>
          <w:lang w:val="en-GB"/>
        </w:rPr>
        <w:t>he beginning of the year</w:t>
      </w:r>
      <w:r w:rsidRPr="00164B46">
        <w:rPr>
          <w:rFonts w:ascii="Arial" w:hAnsi="Arial" w:cs="Arial"/>
          <w:spacing w:val="-3"/>
          <w:sz w:val="20"/>
          <w:szCs w:val="20"/>
          <w:lang w:val="en-GB"/>
        </w:rPr>
        <w:t xml:space="preserve">. </w:t>
      </w:r>
      <w:r w:rsidRPr="00164B46">
        <w:rPr>
          <w:rFonts w:ascii="Arial" w:eastAsia="Times New Roman" w:hAnsi="Arial" w:cs="Arial"/>
          <w:sz w:val="20"/>
          <w:szCs w:val="20"/>
          <w:lang w:val="en-GB" w:eastAsia="hr-HR"/>
        </w:rPr>
        <w:t>Gross loans to other customers</w:t>
      </w:r>
      <w:r w:rsidR="00306F10">
        <w:rPr>
          <w:rFonts w:ascii="Arial" w:eastAsia="Times New Roman" w:hAnsi="Arial" w:cs="Arial"/>
          <w:sz w:val="20"/>
          <w:szCs w:val="20"/>
          <w:lang w:val="en-GB" w:eastAsia="hr-HR"/>
        </w:rPr>
        <w:t xml:space="preserve"> decreased </w:t>
      </w:r>
      <w:r w:rsidR="00972071">
        <w:rPr>
          <w:rFonts w:ascii="Arial" w:eastAsia="Times New Roman" w:hAnsi="Arial" w:cs="Arial"/>
          <w:sz w:val="20"/>
          <w:szCs w:val="20"/>
          <w:lang w:val="en-GB" w:eastAsia="hr-HR"/>
        </w:rPr>
        <w:t xml:space="preserve">by </w:t>
      </w:r>
      <w:r w:rsidR="004C5295">
        <w:rPr>
          <w:rFonts w:ascii="Arial" w:eastAsia="Times New Roman" w:hAnsi="Arial" w:cs="Arial"/>
          <w:sz w:val="20"/>
          <w:szCs w:val="20"/>
          <w:lang w:val="en-GB" w:eastAsia="hr-HR"/>
        </w:rPr>
        <w:t>5 percent</w:t>
      </w:r>
      <w:r w:rsidR="00C546ED">
        <w:rPr>
          <w:rFonts w:ascii="Arial" w:eastAsia="Times New Roman" w:hAnsi="Arial" w:cs="Arial"/>
          <w:sz w:val="20"/>
          <w:szCs w:val="20"/>
          <w:lang w:val="en-GB" w:eastAsia="hr-HR"/>
        </w:rPr>
        <w:t xml:space="preserve"> on </w:t>
      </w:r>
      <w:r w:rsidR="001C4AAD" w:rsidRPr="001029F8">
        <w:rPr>
          <w:rFonts w:ascii="Arial" w:hAnsi="Arial" w:cs="Arial"/>
          <w:spacing w:val="-3"/>
          <w:sz w:val="20"/>
          <w:szCs w:val="20"/>
          <w:lang w:val="en-GB"/>
        </w:rPr>
        <w:t>the beginning of the year</w:t>
      </w:r>
      <w:r w:rsidR="005C198F">
        <w:rPr>
          <w:rFonts w:ascii="Arial" w:hAnsi="Arial" w:cs="Arial"/>
          <w:spacing w:val="-3"/>
          <w:sz w:val="20"/>
          <w:szCs w:val="20"/>
          <w:lang w:val="en-GB"/>
        </w:rPr>
        <w:t xml:space="preserve">. Gross </w:t>
      </w:r>
      <w:r w:rsidR="001C4AAD">
        <w:rPr>
          <w:rFonts w:ascii="Arial" w:hAnsi="Arial" w:cs="Arial"/>
          <w:spacing w:val="-3"/>
          <w:sz w:val="20"/>
          <w:szCs w:val="20"/>
          <w:lang w:val="en-GB"/>
        </w:rPr>
        <w:t>loans to</w:t>
      </w:r>
      <w:r w:rsidR="00A251EB">
        <w:rPr>
          <w:rFonts w:ascii="Arial" w:hAnsi="Arial" w:cs="Arial"/>
          <w:sz w:val="20"/>
          <w:szCs w:val="20"/>
          <w:lang w:val="en-GB" w:eastAsia="hr-HR"/>
        </w:rPr>
        <w:t xml:space="preserve"> financial institutions</w:t>
      </w:r>
      <w:r w:rsidR="00AD54D1">
        <w:rPr>
          <w:rFonts w:ascii="Arial" w:hAnsi="Arial" w:cs="Arial"/>
          <w:sz w:val="20"/>
          <w:szCs w:val="20"/>
          <w:lang w:val="en-GB" w:eastAsia="hr-HR"/>
        </w:rPr>
        <w:t xml:space="preserve"> increased by 4.5 percent on the beginning of the year.</w:t>
      </w:r>
      <w:r w:rsidR="005C198F" w:rsidRPr="005928D8">
        <w:rPr>
          <w:rFonts w:ascii="Arial" w:hAnsi="Arial" w:cs="Arial"/>
          <w:sz w:val="20"/>
          <w:szCs w:val="20"/>
        </w:rPr>
        <w:t xml:space="preserve"> </w:t>
      </w:r>
    </w:p>
    <w:p w14:paraId="067626C7" w14:textId="6F5C8206" w:rsidR="00DE49F6" w:rsidRPr="00164B46" w:rsidRDefault="00DE49F6" w:rsidP="001C4AAD">
      <w:pPr>
        <w:spacing w:after="0" w:line="240" w:lineRule="auto"/>
        <w:jc w:val="both"/>
        <w:rPr>
          <w:rFonts w:ascii="Arial" w:hAnsi="Arial" w:cs="Arial"/>
          <w:sz w:val="20"/>
          <w:szCs w:val="20"/>
        </w:rPr>
      </w:pPr>
      <w:r w:rsidRPr="00164B46">
        <w:rPr>
          <w:rFonts w:ascii="Arial" w:eastAsia="Calibri" w:hAnsi="Arial" w:cs="Arial"/>
          <w:sz w:val="20"/>
          <w:szCs w:val="20"/>
          <w:lang w:val="en-GB"/>
        </w:rPr>
        <w:t>As at 3</w:t>
      </w:r>
      <w:r w:rsidR="001B15DD">
        <w:rPr>
          <w:rFonts w:ascii="Arial" w:eastAsia="Calibri" w:hAnsi="Arial" w:cs="Arial"/>
          <w:sz w:val="20"/>
          <w:szCs w:val="20"/>
          <w:lang w:val="en-GB"/>
        </w:rPr>
        <w:t>0</w:t>
      </w:r>
      <w:r w:rsidRPr="00164B46">
        <w:rPr>
          <w:rFonts w:ascii="Arial" w:eastAsia="Calibri" w:hAnsi="Arial" w:cs="Arial"/>
          <w:sz w:val="20"/>
          <w:szCs w:val="20"/>
          <w:lang w:val="en-GB"/>
        </w:rPr>
        <w:t xml:space="preserve"> </w:t>
      </w:r>
      <w:r w:rsidR="001B15DD">
        <w:rPr>
          <w:rFonts w:ascii="Arial" w:eastAsia="Calibri" w:hAnsi="Arial" w:cs="Arial"/>
          <w:sz w:val="20"/>
          <w:szCs w:val="20"/>
          <w:lang w:val="en-GB"/>
        </w:rPr>
        <w:t>June</w:t>
      </w:r>
      <w:r w:rsidRPr="00164B46">
        <w:rPr>
          <w:rFonts w:ascii="Arial" w:eastAsia="Calibri" w:hAnsi="Arial" w:cs="Arial"/>
          <w:sz w:val="20"/>
          <w:szCs w:val="20"/>
          <w:lang w:val="en-GB"/>
        </w:rPr>
        <w:t xml:space="preserve"> 202</w:t>
      </w:r>
      <w:r w:rsidR="00AD54D1">
        <w:rPr>
          <w:rFonts w:ascii="Arial" w:eastAsia="Calibri" w:hAnsi="Arial" w:cs="Arial"/>
          <w:sz w:val="20"/>
          <w:szCs w:val="20"/>
          <w:lang w:val="en-GB"/>
        </w:rPr>
        <w:t>5</w:t>
      </w:r>
      <w:r w:rsidRPr="00164B46">
        <w:rPr>
          <w:rFonts w:ascii="Arial" w:eastAsia="Calibri" w:hAnsi="Arial" w:cs="Arial"/>
          <w:sz w:val="20"/>
          <w:szCs w:val="20"/>
          <w:lang w:val="en-GB"/>
        </w:rPr>
        <w:t xml:space="preserve">, the proportion between gross loans on-lent through financial institutions and direct placements stood at </w:t>
      </w:r>
      <w:r w:rsidR="001C4AAD">
        <w:rPr>
          <w:rFonts w:ascii="Arial" w:eastAsia="Calibri" w:hAnsi="Arial" w:cs="Arial"/>
          <w:sz w:val="20"/>
          <w:szCs w:val="20"/>
          <w:lang w:val="en-GB"/>
        </w:rPr>
        <w:t>3</w:t>
      </w:r>
      <w:r w:rsidR="00AD54D1">
        <w:rPr>
          <w:rFonts w:ascii="Arial" w:eastAsia="Calibri" w:hAnsi="Arial" w:cs="Arial"/>
          <w:sz w:val="20"/>
          <w:szCs w:val="20"/>
          <w:lang w:val="en-GB"/>
        </w:rPr>
        <w:t>3</w:t>
      </w:r>
      <w:r>
        <w:rPr>
          <w:rFonts w:ascii="Arial" w:eastAsia="Calibri" w:hAnsi="Arial" w:cs="Arial"/>
          <w:sz w:val="20"/>
          <w:szCs w:val="20"/>
          <w:lang w:val="en-GB"/>
        </w:rPr>
        <w:t xml:space="preserve"> </w:t>
      </w:r>
      <w:proofErr w:type="gramStart"/>
      <w:r w:rsidRPr="00164B46">
        <w:rPr>
          <w:rFonts w:ascii="Arial" w:eastAsia="Calibri" w:hAnsi="Arial" w:cs="Arial"/>
          <w:sz w:val="20"/>
          <w:szCs w:val="20"/>
          <w:lang w:val="en-GB"/>
        </w:rPr>
        <w:t>percent</w:t>
      </w:r>
      <w:r w:rsidR="000562A7">
        <w:rPr>
          <w:rFonts w:ascii="Arial" w:eastAsia="Calibri" w:hAnsi="Arial" w:cs="Arial"/>
          <w:sz w:val="20"/>
          <w:szCs w:val="20"/>
          <w:lang w:val="en-GB"/>
        </w:rPr>
        <w:t xml:space="preserve"> </w:t>
      </w:r>
      <w:r w:rsidRPr="00164B46">
        <w:rPr>
          <w:rFonts w:ascii="Arial" w:eastAsia="Calibri" w:hAnsi="Arial" w:cs="Arial"/>
          <w:sz w:val="20"/>
          <w:szCs w:val="20"/>
          <w:lang w:val="en-GB"/>
        </w:rPr>
        <w:t>:</w:t>
      </w:r>
      <w:proofErr w:type="gramEnd"/>
      <w:r w:rsidR="000562A7">
        <w:rPr>
          <w:rFonts w:ascii="Arial" w:eastAsia="Calibri" w:hAnsi="Arial" w:cs="Arial"/>
          <w:sz w:val="20"/>
          <w:szCs w:val="20"/>
          <w:lang w:val="en-GB"/>
        </w:rPr>
        <w:t xml:space="preserve"> </w:t>
      </w:r>
      <w:r w:rsidR="001C4AAD">
        <w:rPr>
          <w:rFonts w:ascii="Arial" w:eastAsia="Calibri" w:hAnsi="Arial" w:cs="Arial"/>
          <w:sz w:val="20"/>
          <w:szCs w:val="20"/>
          <w:lang w:val="en-GB"/>
        </w:rPr>
        <w:t>6</w:t>
      </w:r>
      <w:r w:rsidR="00AD54D1">
        <w:rPr>
          <w:rFonts w:ascii="Arial" w:eastAsia="Calibri" w:hAnsi="Arial" w:cs="Arial"/>
          <w:sz w:val="20"/>
          <w:szCs w:val="20"/>
          <w:lang w:val="en-GB"/>
        </w:rPr>
        <w:t>7</w:t>
      </w:r>
      <w:r w:rsidRPr="00164B46">
        <w:rPr>
          <w:rFonts w:ascii="Arial" w:eastAsia="Calibri" w:hAnsi="Arial" w:cs="Arial"/>
          <w:sz w:val="20"/>
          <w:szCs w:val="20"/>
          <w:lang w:val="en-GB"/>
        </w:rPr>
        <w:t xml:space="preserve"> percent (31 December 202</w:t>
      </w:r>
      <w:r w:rsidR="00AD54D1">
        <w:rPr>
          <w:rFonts w:ascii="Arial" w:eastAsia="Calibri" w:hAnsi="Arial" w:cs="Arial"/>
          <w:sz w:val="20"/>
          <w:szCs w:val="20"/>
          <w:lang w:val="en-GB"/>
        </w:rPr>
        <w:t>4</w:t>
      </w:r>
      <w:r w:rsidRPr="00164B46">
        <w:rPr>
          <w:rFonts w:ascii="Arial" w:eastAsia="Calibri" w:hAnsi="Arial" w:cs="Arial"/>
          <w:sz w:val="20"/>
          <w:szCs w:val="20"/>
          <w:lang w:val="en-GB"/>
        </w:rPr>
        <w:t xml:space="preserve">: </w:t>
      </w:r>
      <w:r w:rsidR="001C4AAD">
        <w:rPr>
          <w:rFonts w:ascii="Arial" w:eastAsia="Calibri" w:hAnsi="Arial" w:cs="Arial"/>
          <w:sz w:val="20"/>
          <w:szCs w:val="20"/>
          <w:lang w:val="en-GB"/>
        </w:rPr>
        <w:t>31</w:t>
      </w:r>
      <w:r w:rsidRPr="00164B46">
        <w:rPr>
          <w:rFonts w:ascii="Arial" w:eastAsia="Calibri" w:hAnsi="Arial" w:cs="Arial"/>
          <w:sz w:val="20"/>
          <w:szCs w:val="20"/>
          <w:lang w:val="en-GB"/>
        </w:rPr>
        <w:t xml:space="preserve"> percent: </w:t>
      </w:r>
      <w:r w:rsidR="001C4AAD">
        <w:rPr>
          <w:rFonts w:ascii="Arial" w:eastAsia="Calibri" w:hAnsi="Arial" w:cs="Arial"/>
          <w:sz w:val="20"/>
          <w:szCs w:val="20"/>
          <w:lang w:val="en-GB"/>
        </w:rPr>
        <w:t>69</w:t>
      </w:r>
      <w:r w:rsidRPr="00164B46">
        <w:rPr>
          <w:rFonts w:ascii="Arial" w:eastAsia="Calibri" w:hAnsi="Arial" w:cs="Arial"/>
          <w:sz w:val="20"/>
          <w:szCs w:val="20"/>
          <w:lang w:val="en-GB"/>
        </w:rPr>
        <w:t xml:space="preserve"> percent).</w:t>
      </w:r>
    </w:p>
    <w:p w14:paraId="6656E33F" w14:textId="16FEBC6F" w:rsidR="00AE785D" w:rsidRPr="00A24707" w:rsidRDefault="00AE785D">
      <w:pPr>
        <w:spacing w:after="0" w:line="240" w:lineRule="auto"/>
        <w:jc w:val="both"/>
        <w:rPr>
          <w:rFonts w:ascii="Arial" w:eastAsia="Times New Roman" w:hAnsi="Arial" w:cs="Arial"/>
          <w:b/>
          <w:i/>
          <w:spacing w:val="-3"/>
          <w:sz w:val="20"/>
          <w:szCs w:val="20"/>
          <w:lang w:val="en-GB" w:eastAsia="hr-HR"/>
        </w:rPr>
      </w:pPr>
    </w:p>
    <w:p w14:paraId="2E58C64C" w14:textId="77777777" w:rsidR="006F2B22" w:rsidRPr="00A24707" w:rsidRDefault="006F2B22" w:rsidP="006F2B22">
      <w:pPr>
        <w:tabs>
          <w:tab w:val="left" w:pos="-720"/>
        </w:tabs>
        <w:suppressAutoHyphens/>
        <w:spacing w:after="0" w:line="240" w:lineRule="auto"/>
        <w:jc w:val="both"/>
        <w:rPr>
          <w:rFonts w:ascii="Arial" w:hAnsi="Arial" w:cs="Arial"/>
          <w:b/>
          <w:i/>
          <w:sz w:val="20"/>
          <w:szCs w:val="20"/>
          <w:lang w:val="en-GB"/>
        </w:rPr>
      </w:pPr>
      <w:r w:rsidRPr="003D1972">
        <w:rPr>
          <w:rFonts w:ascii="Arial" w:hAnsi="Arial" w:cs="Arial"/>
          <w:b/>
          <w:i/>
          <w:sz w:val="20"/>
          <w:szCs w:val="20"/>
          <w:lang w:val="en-GB"/>
        </w:rPr>
        <w:t>Financial assets at fair value through profit or loss</w:t>
      </w:r>
    </w:p>
    <w:p w14:paraId="1EBC265B" w14:textId="3452671F" w:rsidR="00E96499" w:rsidRPr="00A24707" w:rsidRDefault="00E96499" w:rsidP="006F2B22">
      <w:pPr>
        <w:spacing w:after="0" w:line="240" w:lineRule="auto"/>
        <w:jc w:val="both"/>
        <w:rPr>
          <w:rFonts w:ascii="Arial" w:hAnsi="Arial" w:cs="Arial"/>
          <w:b/>
          <w:sz w:val="20"/>
          <w:szCs w:val="20"/>
          <w:lang w:val="en-GB"/>
        </w:rPr>
      </w:pPr>
    </w:p>
    <w:p w14:paraId="3318353F" w14:textId="2D26C805" w:rsidR="00E96499" w:rsidRPr="00A24707" w:rsidRDefault="00B72C39" w:rsidP="007B069A">
      <w:pPr>
        <w:tabs>
          <w:tab w:val="left" w:pos="-720"/>
        </w:tabs>
        <w:suppressAutoHyphens/>
        <w:spacing w:after="0" w:line="240" w:lineRule="auto"/>
        <w:jc w:val="both"/>
        <w:rPr>
          <w:rFonts w:ascii="Arial" w:hAnsi="Arial" w:cs="Arial"/>
          <w:sz w:val="20"/>
          <w:szCs w:val="20"/>
          <w:lang w:val="en-GB"/>
        </w:rPr>
      </w:pPr>
      <w:r w:rsidRPr="00A24707">
        <w:rPr>
          <w:rFonts w:ascii="Arial" w:hAnsi="Arial" w:cs="Arial"/>
          <w:sz w:val="20"/>
          <w:szCs w:val="20"/>
          <w:lang w:val="en-GB"/>
        </w:rPr>
        <w:t>Loans at fair value (HBOR has determined that mezzanine loans are classified here), investments in investment funds and a part of equity instruments are classified to these assets</w:t>
      </w:r>
      <w:r w:rsidR="00E96499" w:rsidRPr="00A24707">
        <w:rPr>
          <w:rFonts w:ascii="Arial" w:hAnsi="Arial" w:cs="Arial"/>
          <w:sz w:val="20"/>
          <w:szCs w:val="20"/>
          <w:lang w:val="en-GB"/>
        </w:rPr>
        <w:t xml:space="preserve">. </w:t>
      </w:r>
      <w:r w:rsidRPr="00A24707">
        <w:rPr>
          <w:rFonts w:ascii="Arial" w:hAnsi="Arial" w:cs="Arial"/>
          <w:sz w:val="20"/>
          <w:szCs w:val="20"/>
          <w:lang w:val="en-GB"/>
        </w:rPr>
        <w:t xml:space="preserve">As </w:t>
      </w:r>
      <w:proofErr w:type="gramStart"/>
      <w:r w:rsidRPr="00A24707">
        <w:rPr>
          <w:rFonts w:ascii="Arial" w:hAnsi="Arial" w:cs="Arial"/>
          <w:sz w:val="20"/>
          <w:szCs w:val="20"/>
          <w:lang w:val="en-GB"/>
        </w:rPr>
        <w:t>at</w:t>
      </w:r>
      <w:proofErr w:type="gramEnd"/>
      <w:r w:rsidRPr="00A24707">
        <w:rPr>
          <w:rFonts w:ascii="Arial" w:hAnsi="Arial" w:cs="Arial"/>
          <w:sz w:val="20"/>
          <w:szCs w:val="20"/>
          <w:lang w:val="en-GB"/>
        </w:rPr>
        <w:t xml:space="preserve"> 3</w:t>
      </w:r>
      <w:r w:rsidR="003C1A73" w:rsidRPr="00A24707">
        <w:rPr>
          <w:rFonts w:ascii="Arial" w:hAnsi="Arial" w:cs="Arial"/>
          <w:sz w:val="20"/>
          <w:szCs w:val="20"/>
          <w:lang w:val="en-GB"/>
        </w:rPr>
        <w:t>0 June</w:t>
      </w:r>
      <w:r w:rsidRPr="00A24707">
        <w:rPr>
          <w:rFonts w:ascii="Arial" w:hAnsi="Arial" w:cs="Arial"/>
          <w:sz w:val="20"/>
          <w:szCs w:val="20"/>
          <w:lang w:val="en-GB"/>
        </w:rPr>
        <w:t xml:space="preserve"> 20</w:t>
      </w:r>
      <w:r w:rsidR="000D7ADE" w:rsidRPr="00A24707">
        <w:rPr>
          <w:rFonts w:ascii="Arial" w:hAnsi="Arial" w:cs="Arial"/>
          <w:sz w:val="20"/>
          <w:szCs w:val="20"/>
          <w:lang w:val="en-GB"/>
        </w:rPr>
        <w:t>2</w:t>
      </w:r>
      <w:r w:rsidR="00E10F8C">
        <w:rPr>
          <w:rFonts w:ascii="Arial" w:hAnsi="Arial" w:cs="Arial"/>
          <w:sz w:val="20"/>
          <w:szCs w:val="20"/>
          <w:lang w:val="en-GB"/>
        </w:rPr>
        <w:t>5</w:t>
      </w:r>
      <w:r w:rsidRPr="00A24707">
        <w:rPr>
          <w:rFonts w:ascii="Arial" w:hAnsi="Arial" w:cs="Arial"/>
          <w:sz w:val="20"/>
          <w:szCs w:val="20"/>
          <w:lang w:val="en-GB"/>
        </w:rPr>
        <w:t xml:space="preserve">, the total amount of these assets was </w:t>
      </w:r>
      <w:r w:rsidR="00217943">
        <w:rPr>
          <w:rFonts w:ascii="Arial" w:hAnsi="Arial" w:cs="Arial"/>
          <w:sz w:val="20"/>
          <w:szCs w:val="20"/>
          <w:lang w:val="en-GB"/>
        </w:rPr>
        <w:t xml:space="preserve">EUR </w:t>
      </w:r>
      <w:r w:rsidR="00E10F8C">
        <w:rPr>
          <w:rFonts w:ascii="Arial" w:hAnsi="Arial" w:cs="Arial"/>
          <w:sz w:val="20"/>
          <w:szCs w:val="20"/>
          <w:lang w:val="en-GB"/>
        </w:rPr>
        <w:t>74</w:t>
      </w:r>
      <w:r w:rsidR="001C4AAD">
        <w:rPr>
          <w:rFonts w:ascii="Arial" w:hAnsi="Arial" w:cs="Arial"/>
          <w:sz w:val="20"/>
          <w:szCs w:val="20"/>
          <w:lang w:val="en-GB"/>
        </w:rPr>
        <w:t>.</w:t>
      </w:r>
      <w:r w:rsidR="00E10F8C">
        <w:rPr>
          <w:rFonts w:ascii="Arial" w:hAnsi="Arial" w:cs="Arial"/>
          <w:sz w:val="20"/>
          <w:szCs w:val="20"/>
          <w:lang w:val="en-GB"/>
        </w:rPr>
        <w:t>4</w:t>
      </w:r>
      <w:r w:rsidR="00E96499" w:rsidRPr="00A24707">
        <w:rPr>
          <w:rFonts w:ascii="Arial" w:hAnsi="Arial" w:cs="Arial"/>
          <w:sz w:val="20"/>
          <w:szCs w:val="20"/>
          <w:lang w:val="en-GB"/>
        </w:rPr>
        <w:t xml:space="preserve"> mil</w:t>
      </w:r>
      <w:r w:rsidRPr="00A24707">
        <w:rPr>
          <w:rFonts w:ascii="Arial" w:hAnsi="Arial" w:cs="Arial"/>
          <w:sz w:val="20"/>
          <w:szCs w:val="20"/>
          <w:lang w:val="en-GB"/>
        </w:rPr>
        <w:t>lion representing</w:t>
      </w:r>
      <w:r w:rsidR="00E96499" w:rsidRPr="00A24707">
        <w:rPr>
          <w:rFonts w:ascii="Arial" w:hAnsi="Arial" w:cs="Arial"/>
          <w:sz w:val="20"/>
          <w:szCs w:val="20"/>
          <w:lang w:val="en-GB"/>
        </w:rPr>
        <w:t xml:space="preserve"> </w:t>
      </w:r>
      <w:r w:rsidR="00217943">
        <w:rPr>
          <w:rFonts w:ascii="Arial" w:hAnsi="Arial" w:cs="Arial"/>
          <w:sz w:val="20"/>
          <w:szCs w:val="20"/>
          <w:lang w:val="en-GB"/>
        </w:rPr>
        <w:t>1.</w:t>
      </w:r>
      <w:r w:rsidR="005035CF">
        <w:rPr>
          <w:rFonts w:ascii="Arial" w:hAnsi="Arial" w:cs="Arial"/>
          <w:sz w:val="20"/>
          <w:szCs w:val="20"/>
          <w:lang w:val="en-GB"/>
        </w:rPr>
        <w:t>9</w:t>
      </w:r>
      <w:r w:rsidR="00E96499" w:rsidRPr="00A24707">
        <w:rPr>
          <w:rFonts w:ascii="Arial" w:hAnsi="Arial" w:cs="Arial"/>
          <w:sz w:val="20"/>
          <w:szCs w:val="20"/>
          <w:lang w:val="en-GB"/>
        </w:rPr>
        <w:t xml:space="preserve"> p</w:t>
      </w:r>
      <w:r w:rsidRPr="00A24707">
        <w:rPr>
          <w:rFonts w:ascii="Arial" w:hAnsi="Arial" w:cs="Arial"/>
          <w:sz w:val="20"/>
          <w:szCs w:val="20"/>
          <w:lang w:val="en-GB"/>
        </w:rPr>
        <w:t>ercent of total assets</w:t>
      </w:r>
      <w:r w:rsidR="00A251EB">
        <w:rPr>
          <w:rFonts w:ascii="Arial" w:hAnsi="Arial" w:cs="Arial"/>
          <w:sz w:val="20"/>
          <w:szCs w:val="20"/>
          <w:lang w:val="en-GB"/>
        </w:rPr>
        <w:t>.</w:t>
      </w:r>
    </w:p>
    <w:p w14:paraId="42BF709A" w14:textId="77777777" w:rsidR="00E96499" w:rsidRPr="00A24707" w:rsidRDefault="00E96499" w:rsidP="007B069A">
      <w:pPr>
        <w:tabs>
          <w:tab w:val="left" w:pos="-720"/>
        </w:tabs>
        <w:suppressAutoHyphens/>
        <w:spacing w:after="0" w:line="240" w:lineRule="auto"/>
        <w:jc w:val="both"/>
        <w:rPr>
          <w:rFonts w:ascii="Arial" w:hAnsi="Arial" w:cs="Arial"/>
          <w:sz w:val="20"/>
          <w:szCs w:val="20"/>
          <w:lang w:val="en-GB"/>
        </w:rPr>
      </w:pPr>
    </w:p>
    <w:p w14:paraId="454F9F0F" w14:textId="77777777" w:rsidR="0044218B" w:rsidRPr="00A24707" w:rsidRDefault="0044218B" w:rsidP="0044218B">
      <w:pPr>
        <w:tabs>
          <w:tab w:val="left" w:pos="-720"/>
        </w:tabs>
        <w:suppressAutoHyphens/>
        <w:spacing w:after="0" w:line="240" w:lineRule="auto"/>
        <w:jc w:val="both"/>
        <w:rPr>
          <w:rFonts w:ascii="Arial" w:hAnsi="Arial" w:cs="Arial"/>
          <w:b/>
          <w:i/>
          <w:sz w:val="20"/>
          <w:szCs w:val="20"/>
          <w:lang w:val="en-GB"/>
        </w:rPr>
      </w:pPr>
      <w:r w:rsidRPr="00A24707">
        <w:rPr>
          <w:rFonts w:ascii="Arial" w:hAnsi="Arial" w:cs="Arial"/>
          <w:b/>
          <w:i/>
          <w:sz w:val="20"/>
          <w:szCs w:val="20"/>
          <w:lang w:val="en-GB"/>
        </w:rPr>
        <w:t xml:space="preserve">Financial assets at fair value through other comprehensive income </w:t>
      </w:r>
    </w:p>
    <w:p w14:paraId="1A95D77F" w14:textId="77777777" w:rsidR="00FC7E2E" w:rsidRPr="00A24707" w:rsidRDefault="00FC7E2E" w:rsidP="007B069A">
      <w:pPr>
        <w:tabs>
          <w:tab w:val="left" w:pos="-720"/>
        </w:tabs>
        <w:suppressAutoHyphens/>
        <w:spacing w:after="0" w:line="240" w:lineRule="auto"/>
        <w:jc w:val="both"/>
        <w:rPr>
          <w:rFonts w:ascii="Arial" w:hAnsi="Arial" w:cs="Arial"/>
          <w:b/>
          <w:i/>
          <w:sz w:val="20"/>
          <w:szCs w:val="20"/>
          <w:lang w:val="en-GB"/>
        </w:rPr>
      </w:pPr>
    </w:p>
    <w:p w14:paraId="0178DCD6" w14:textId="77777777" w:rsidR="007859D5" w:rsidRPr="00A24707" w:rsidRDefault="007859D5" w:rsidP="007B069A">
      <w:pPr>
        <w:tabs>
          <w:tab w:val="left" w:pos="-720"/>
        </w:tabs>
        <w:suppressAutoHyphens/>
        <w:spacing w:after="0" w:line="240" w:lineRule="auto"/>
        <w:jc w:val="both"/>
        <w:rPr>
          <w:rFonts w:ascii="Arial" w:hAnsi="Arial" w:cs="Arial"/>
          <w:b/>
          <w:i/>
          <w:sz w:val="20"/>
          <w:szCs w:val="20"/>
          <w:lang w:val="en-GB"/>
        </w:rPr>
      </w:pPr>
      <w:r w:rsidRPr="00A24707">
        <w:rPr>
          <w:rFonts w:ascii="Arial" w:hAnsi="Arial" w:cs="Arial"/>
          <w:b/>
          <w:i/>
          <w:sz w:val="20"/>
          <w:szCs w:val="20"/>
          <w:lang w:val="en-GB"/>
        </w:rPr>
        <w:t xml:space="preserve">a) </w:t>
      </w:r>
      <w:r w:rsidR="0044218B" w:rsidRPr="00A24707">
        <w:rPr>
          <w:rFonts w:ascii="Arial" w:hAnsi="Arial" w:cs="Arial"/>
          <w:b/>
          <w:i/>
          <w:sz w:val="20"/>
          <w:szCs w:val="20"/>
          <w:lang w:val="en-GB"/>
        </w:rPr>
        <w:t>Debt instruments</w:t>
      </w:r>
    </w:p>
    <w:p w14:paraId="14BCABFA" w14:textId="77777777" w:rsidR="007859D5" w:rsidRPr="00A24707" w:rsidRDefault="007859D5" w:rsidP="007B069A">
      <w:pPr>
        <w:tabs>
          <w:tab w:val="left" w:pos="-720"/>
        </w:tabs>
        <w:suppressAutoHyphens/>
        <w:spacing w:after="0" w:line="240" w:lineRule="auto"/>
        <w:jc w:val="both"/>
        <w:rPr>
          <w:rFonts w:ascii="Arial" w:hAnsi="Arial" w:cs="Arial"/>
          <w:b/>
          <w:i/>
          <w:sz w:val="20"/>
          <w:szCs w:val="20"/>
          <w:lang w:val="en-GB"/>
        </w:rPr>
      </w:pPr>
    </w:p>
    <w:p w14:paraId="2D1081A8" w14:textId="633ECF34" w:rsidR="009869E1" w:rsidRPr="00164B46" w:rsidRDefault="009869E1" w:rsidP="009869E1">
      <w:pPr>
        <w:spacing w:after="0" w:line="240" w:lineRule="auto"/>
        <w:jc w:val="both"/>
        <w:rPr>
          <w:rFonts w:ascii="Arial" w:hAnsi="Arial" w:cs="Arial"/>
          <w:sz w:val="20"/>
          <w:szCs w:val="20"/>
          <w:lang w:val="en-GB"/>
        </w:rPr>
      </w:pPr>
      <w:r w:rsidRPr="00164B46">
        <w:rPr>
          <w:rFonts w:ascii="Arial" w:hAnsi="Arial" w:cs="Arial"/>
          <w:sz w:val="20"/>
          <w:szCs w:val="20"/>
          <w:lang w:val="en-GB"/>
        </w:rPr>
        <w:t xml:space="preserve">Bonds of the Republic of Croatia and treasury bills of the Ministry of Finance as part of liquidity reserve as well as bonds of a company are classified to these assets. On the reporting date, they amounted to </w:t>
      </w:r>
      <w:r>
        <w:rPr>
          <w:rFonts w:ascii="Arial" w:hAnsi="Arial" w:cs="Arial"/>
          <w:sz w:val="20"/>
          <w:szCs w:val="20"/>
          <w:lang w:val="en-GB"/>
        </w:rPr>
        <w:t xml:space="preserve">EUR </w:t>
      </w:r>
      <w:r w:rsidR="0051124A">
        <w:rPr>
          <w:rFonts w:ascii="Arial" w:hAnsi="Arial" w:cs="Arial"/>
          <w:sz w:val="20"/>
          <w:szCs w:val="20"/>
          <w:lang w:val="en-GB"/>
        </w:rPr>
        <w:t>2</w:t>
      </w:r>
      <w:r w:rsidR="005035CF">
        <w:rPr>
          <w:rFonts w:ascii="Arial" w:hAnsi="Arial" w:cs="Arial"/>
          <w:sz w:val="20"/>
          <w:szCs w:val="20"/>
          <w:lang w:val="en-GB"/>
        </w:rPr>
        <w:t>58</w:t>
      </w:r>
      <w:r w:rsidR="001C4AAD">
        <w:rPr>
          <w:rFonts w:ascii="Arial" w:hAnsi="Arial" w:cs="Arial"/>
          <w:sz w:val="20"/>
          <w:szCs w:val="20"/>
          <w:lang w:val="en-GB"/>
        </w:rPr>
        <w:t>.</w:t>
      </w:r>
      <w:r w:rsidR="005035CF">
        <w:rPr>
          <w:rFonts w:ascii="Arial" w:hAnsi="Arial" w:cs="Arial"/>
          <w:sz w:val="20"/>
          <w:szCs w:val="20"/>
          <w:lang w:val="en-GB"/>
        </w:rPr>
        <w:t>9</w:t>
      </w:r>
      <w:r w:rsidRPr="00164B46">
        <w:rPr>
          <w:rFonts w:ascii="Arial" w:hAnsi="Arial" w:cs="Arial"/>
          <w:sz w:val="20"/>
          <w:szCs w:val="20"/>
          <w:lang w:val="en-GB"/>
        </w:rPr>
        <w:t xml:space="preserve"> million, representing </w:t>
      </w:r>
      <w:r w:rsidR="001C4AAD">
        <w:rPr>
          <w:rFonts w:ascii="Arial" w:hAnsi="Arial" w:cs="Arial"/>
          <w:sz w:val="20"/>
          <w:szCs w:val="20"/>
          <w:lang w:val="en-GB"/>
        </w:rPr>
        <w:t>5.9</w:t>
      </w:r>
      <w:r w:rsidRPr="00164B46">
        <w:rPr>
          <w:rFonts w:ascii="Arial" w:hAnsi="Arial" w:cs="Arial"/>
          <w:sz w:val="20"/>
          <w:szCs w:val="20"/>
          <w:lang w:val="en-GB"/>
        </w:rPr>
        <w:t xml:space="preserve"> percent of total assets and </w:t>
      </w:r>
      <w:r w:rsidRPr="00164B46">
        <w:rPr>
          <w:rFonts w:ascii="Arial" w:hAnsi="Arial" w:cs="Arial"/>
          <w:color w:val="222222"/>
          <w:sz w:val="20"/>
          <w:szCs w:val="20"/>
          <w:lang w:val="en"/>
        </w:rPr>
        <w:t>recorded a</w:t>
      </w:r>
      <w:r w:rsidR="001C4AAD">
        <w:rPr>
          <w:rFonts w:ascii="Arial" w:hAnsi="Arial" w:cs="Arial"/>
          <w:color w:val="222222"/>
          <w:sz w:val="20"/>
          <w:szCs w:val="20"/>
          <w:lang w:val="en"/>
        </w:rPr>
        <w:t>n</w:t>
      </w:r>
      <w:r>
        <w:rPr>
          <w:rFonts w:ascii="Arial" w:hAnsi="Arial" w:cs="Arial"/>
          <w:color w:val="222222"/>
          <w:sz w:val="20"/>
          <w:szCs w:val="20"/>
          <w:lang w:val="en"/>
        </w:rPr>
        <w:t xml:space="preserve"> </w:t>
      </w:r>
      <w:r w:rsidR="001C4AAD">
        <w:rPr>
          <w:rFonts w:ascii="Arial" w:hAnsi="Arial" w:cs="Arial"/>
          <w:color w:val="222222"/>
          <w:sz w:val="20"/>
          <w:szCs w:val="20"/>
          <w:lang w:val="en"/>
        </w:rPr>
        <w:t>in</w:t>
      </w:r>
      <w:r w:rsidRPr="00164B46">
        <w:rPr>
          <w:rFonts w:ascii="Arial" w:hAnsi="Arial" w:cs="Arial"/>
          <w:color w:val="222222"/>
          <w:sz w:val="20"/>
          <w:szCs w:val="20"/>
          <w:lang w:val="en"/>
        </w:rPr>
        <w:t xml:space="preserve">crease compared to the beginning of the year by </w:t>
      </w:r>
      <w:r w:rsidR="001C4AAD">
        <w:rPr>
          <w:rFonts w:ascii="Arial" w:hAnsi="Arial" w:cs="Arial"/>
          <w:color w:val="222222"/>
          <w:sz w:val="20"/>
          <w:szCs w:val="20"/>
          <w:lang w:val="en"/>
        </w:rPr>
        <w:t>6.</w:t>
      </w:r>
      <w:r w:rsidR="005035CF">
        <w:rPr>
          <w:rFonts w:ascii="Arial" w:hAnsi="Arial" w:cs="Arial"/>
          <w:color w:val="222222"/>
          <w:sz w:val="20"/>
          <w:szCs w:val="20"/>
          <w:lang w:val="en"/>
        </w:rPr>
        <w:t>5</w:t>
      </w:r>
      <w:r w:rsidRPr="00164B46">
        <w:rPr>
          <w:rFonts w:ascii="Arial" w:hAnsi="Arial" w:cs="Arial"/>
          <w:color w:val="222222"/>
          <w:sz w:val="20"/>
          <w:szCs w:val="20"/>
          <w:lang w:val="en"/>
        </w:rPr>
        <w:t xml:space="preserve"> percent</w:t>
      </w:r>
      <w:r w:rsidRPr="00164B46">
        <w:rPr>
          <w:rFonts w:ascii="Arial" w:hAnsi="Arial" w:cs="Arial"/>
          <w:sz w:val="20"/>
          <w:szCs w:val="20"/>
          <w:lang w:val="en-GB"/>
        </w:rPr>
        <w:t xml:space="preserve">. </w:t>
      </w:r>
    </w:p>
    <w:p w14:paraId="6D4AE391" w14:textId="77777777" w:rsidR="009869E1" w:rsidRDefault="009869E1" w:rsidP="009869E1">
      <w:pPr>
        <w:spacing w:after="0" w:line="240" w:lineRule="auto"/>
        <w:jc w:val="both"/>
        <w:rPr>
          <w:rFonts w:ascii="Arial" w:hAnsi="Arial" w:cs="Arial"/>
          <w:sz w:val="20"/>
          <w:szCs w:val="20"/>
          <w:lang w:val="en-GB"/>
        </w:rPr>
      </w:pPr>
    </w:p>
    <w:p w14:paraId="6D093433" w14:textId="3ED90A75" w:rsidR="009869E1" w:rsidRPr="00164B46" w:rsidRDefault="009869E1" w:rsidP="009869E1">
      <w:pPr>
        <w:spacing w:after="0" w:line="240" w:lineRule="auto"/>
        <w:jc w:val="both"/>
        <w:rPr>
          <w:rFonts w:ascii="Arial" w:hAnsi="Arial" w:cs="Arial"/>
          <w:color w:val="000000" w:themeColor="text1"/>
          <w:sz w:val="20"/>
          <w:szCs w:val="20"/>
          <w:lang w:val="en-GB"/>
        </w:rPr>
        <w:sectPr w:rsidR="009869E1" w:rsidRPr="00164B46" w:rsidSect="00F11426">
          <w:footerReference w:type="default" r:id="rId37"/>
          <w:pgSz w:w="11906" w:h="16838"/>
          <w:pgMar w:top="1417" w:right="1416" w:bottom="1417" w:left="1417" w:header="708" w:footer="708" w:gutter="0"/>
          <w:cols w:space="708"/>
          <w:docGrid w:linePitch="360"/>
        </w:sectPr>
      </w:pPr>
      <w:r w:rsidRPr="00164B46">
        <w:rPr>
          <w:rFonts w:ascii="Arial" w:hAnsi="Arial" w:cs="Arial"/>
          <w:sz w:val="20"/>
          <w:szCs w:val="20"/>
          <w:lang w:val="en-GB"/>
        </w:rPr>
        <w:t xml:space="preserve">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 On the reporting date, they amounted to </w:t>
      </w:r>
      <w:r>
        <w:rPr>
          <w:rFonts w:ascii="Arial" w:hAnsi="Arial" w:cs="Arial"/>
          <w:sz w:val="20"/>
          <w:szCs w:val="20"/>
          <w:lang w:val="en-GB"/>
        </w:rPr>
        <w:t>EUR</w:t>
      </w:r>
      <w:r w:rsidRPr="00164B46">
        <w:rPr>
          <w:rFonts w:ascii="Arial" w:hAnsi="Arial" w:cs="Arial"/>
          <w:sz w:val="20"/>
          <w:szCs w:val="20"/>
          <w:lang w:val="en-GB"/>
        </w:rPr>
        <w:t xml:space="preserve"> </w:t>
      </w:r>
      <w:r>
        <w:rPr>
          <w:rFonts w:ascii="Arial" w:hAnsi="Arial" w:cs="Arial"/>
          <w:sz w:val="20"/>
          <w:szCs w:val="20"/>
          <w:lang w:val="en-GB"/>
        </w:rPr>
        <w:t>0.</w:t>
      </w:r>
      <w:r w:rsidR="005035CF">
        <w:rPr>
          <w:rFonts w:ascii="Arial" w:hAnsi="Arial" w:cs="Arial"/>
          <w:sz w:val="20"/>
          <w:szCs w:val="20"/>
          <w:lang w:val="en-GB"/>
        </w:rPr>
        <w:t>4</w:t>
      </w:r>
      <w:r w:rsidRPr="00164B46">
        <w:rPr>
          <w:rFonts w:ascii="Arial" w:hAnsi="Arial" w:cs="Arial"/>
          <w:color w:val="000000" w:themeColor="text1"/>
          <w:sz w:val="20"/>
          <w:szCs w:val="20"/>
          <w:lang w:val="en-GB"/>
        </w:rPr>
        <w:t xml:space="preserve"> million in other reserves.</w:t>
      </w:r>
    </w:p>
    <w:p w14:paraId="7453BFA5" w14:textId="49251A2D" w:rsidR="007859D5" w:rsidRPr="00A24707" w:rsidRDefault="007859D5" w:rsidP="007B069A">
      <w:pPr>
        <w:tabs>
          <w:tab w:val="left" w:pos="-720"/>
        </w:tabs>
        <w:suppressAutoHyphens/>
        <w:spacing w:after="0" w:line="240" w:lineRule="auto"/>
        <w:jc w:val="both"/>
        <w:rPr>
          <w:rFonts w:ascii="Arial" w:hAnsi="Arial" w:cs="Arial"/>
          <w:b/>
          <w:i/>
          <w:sz w:val="20"/>
          <w:szCs w:val="20"/>
          <w:lang w:val="en-GB"/>
        </w:rPr>
      </w:pPr>
      <w:r w:rsidRPr="00A24707">
        <w:rPr>
          <w:rFonts w:ascii="Arial" w:hAnsi="Arial" w:cs="Arial"/>
          <w:b/>
          <w:i/>
          <w:sz w:val="20"/>
          <w:szCs w:val="20"/>
          <w:lang w:val="en-GB"/>
        </w:rPr>
        <w:lastRenderedPageBreak/>
        <w:t xml:space="preserve">b) </w:t>
      </w:r>
      <w:r w:rsidR="0044218B" w:rsidRPr="00A24707">
        <w:rPr>
          <w:rFonts w:ascii="Arial" w:hAnsi="Arial" w:cs="Arial"/>
          <w:b/>
          <w:i/>
          <w:sz w:val="20"/>
          <w:szCs w:val="20"/>
          <w:lang w:val="en-GB"/>
        </w:rPr>
        <w:t>Equity instruments</w:t>
      </w:r>
    </w:p>
    <w:p w14:paraId="4BEC1FCE" w14:textId="77777777" w:rsidR="007859D5" w:rsidRPr="00A24707" w:rsidRDefault="007859D5" w:rsidP="007B069A">
      <w:pPr>
        <w:tabs>
          <w:tab w:val="left" w:pos="-720"/>
        </w:tabs>
        <w:suppressAutoHyphens/>
        <w:spacing w:after="0" w:line="240" w:lineRule="auto"/>
        <w:jc w:val="both"/>
        <w:rPr>
          <w:rFonts w:ascii="Arial" w:hAnsi="Arial" w:cs="Arial"/>
          <w:b/>
          <w:i/>
          <w:sz w:val="20"/>
          <w:szCs w:val="20"/>
          <w:lang w:val="en-GB"/>
        </w:rPr>
      </w:pPr>
    </w:p>
    <w:p w14:paraId="2956F23C" w14:textId="77777777" w:rsidR="00842108" w:rsidRPr="00EE2578" w:rsidRDefault="00842108" w:rsidP="00842108">
      <w:pPr>
        <w:tabs>
          <w:tab w:val="left" w:pos="-720"/>
        </w:tabs>
        <w:suppressAutoHyphens/>
        <w:spacing w:after="0" w:line="240" w:lineRule="auto"/>
        <w:jc w:val="both"/>
        <w:rPr>
          <w:rFonts w:ascii="Arial" w:hAnsi="Arial" w:cs="Arial"/>
          <w:sz w:val="20"/>
          <w:szCs w:val="20"/>
          <w:lang w:val="en-GB"/>
        </w:rPr>
      </w:pPr>
      <w:r w:rsidRPr="00EE2578">
        <w:rPr>
          <w:rFonts w:ascii="Arial" w:hAnsi="Arial" w:cs="Arial"/>
          <w:sz w:val="20"/>
          <w:szCs w:val="20"/>
          <w:lang w:val="en-GB"/>
        </w:rPr>
        <w:t>Equity instruments (shares of companies) that HBOR does not intend to sell and to which irrevocable option of subsequent measurement of fair value through other comprehensive income without recycling is applied are classified to these assets, i.e. reserves recognised under other comprehensive income will never be transferred to the statement on profit or loss.</w:t>
      </w:r>
    </w:p>
    <w:p w14:paraId="0797B38E" w14:textId="2A8B8673" w:rsidR="00842108" w:rsidRDefault="00842108" w:rsidP="00842108">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z w:val="20"/>
          <w:szCs w:val="20"/>
          <w:lang w:val="en-GB"/>
        </w:rPr>
        <w:t xml:space="preserve">On the reporting date, these assets amounted to </w:t>
      </w:r>
      <w:r>
        <w:rPr>
          <w:rFonts w:ascii="Arial" w:hAnsi="Arial" w:cs="Arial"/>
          <w:sz w:val="20"/>
          <w:szCs w:val="20"/>
          <w:lang w:val="en-GB"/>
        </w:rPr>
        <w:t xml:space="preserve">EUR </w:t>
      </w:r>
      <w:r w:rsidR="001C4AAD">
        <w:rPr>
          <w:rFonts w:ascii="Arial" w:hAnsi="Arial" w:cs="Arial"/>
          <w:sz w:val="20"/>
          <w:szCs w:val="20"/>
          <w:lang w:val="en-GB"/>
        </w:rPr>
        <w:t>8.</w:t>
      </w:r>
      <w:r w:rsidR="0054069A">
        <w:rPr>
          <w:rFonts w:ascii="Arial" w:hAnsi="Arial" w:cs="Arial"/>
          <w:sz w:val="20"/>
          <w:szCs w:val="20"/>
          <w:lang w:val="en-GB"/>
        </w:rPr>
        <w:t>5</w:t>
      </w:r>
      <w:r w:rsidRPr="00EE2578">
        <w:rPr>
          <w:rFonts w:ascii="Arial" w:hAnsi="Arial" w:cs="Arial"/>
          <w:spacing w:val="-3"/>
          <w:sz w:val="20"/>
          <w:szCs w:val="20"/>
          <w:lang w:val="en-GB"/>
        </w:rPr>
        <w:t xml:space="preserve"> million, representing 0.2</w:t>
      </w:r>
      <w:r>
        <w:rPr>
          <w:rFonts w:ascii="Arial" w:hAnsi="Arial" w:cs="Arial"/>
          <w:spacing w:val="-3"/>
          <w:sz w:val="20"/>
          <w:szCs w:val="20"/>
          <w:lang w:val="en-GB"/>
        </w:rPr>
        <w:t xml:space="preserve"> </w:t>
      </w:r>
      <w:r w:rsidRPr="00EE2578">
        <w:rPr>
          <w:rFonts w:ascii="Arial" w:hAnsi="Arial" w:cs="Arial"/>
          <w:spacing w:val="-3"/>
          <w:sz w:val="20"/>
          <w:szCs w:val="20"/>
          <w:lang w:val="en-GB"/>
        </w:rPr>
        <w:t>percent of total assets.</w:t>
      </w:r>
    </w:p>
    <w:p w14:paraId="7BE31FE3" w14:textId="77777777" w:rsidR="003C757B" w:rsidRDefault="003C757B" w:rsidP="00842108">
      <w:pPr>
        <w:tabs>
          <w:tab w:val="left" w:pos="-720"/>
        </w:tabs>
        <w:suppressAutoHyphens/>
        <w:spacing w:after="0" w:line="240" w:lineRule="auto"/>
        <w:jc w:val="both"/>
        <w:rPr>
          <w:rFonts w:ascii="Arial" w:hAnsi="Arial" w:cs="Arial"/>
          <w:spacing w:val="-3"/>
          <w:sz w:val="20"/>
          <w:szCs w:val="20"/>
          <w:lang w:val="en-GB"/>
        </w:rPr>
      </w:pPr>
    </w:p>
    <w:p w14:paraId="55FCDB46" w14:textId="77777777" w:rsidR="00370E5A" w:rsidRPr="00041197" w:rsidRDefault="00370E5A" w:rsidP="00124861">
      <w:pPr>
        <w:tabs>
          <w:tab w:val="left" w:pos="-720"/>
        </w:tabs>
        <w:suppressAutoHyphens/>
        <w:spacing w:after="0" w:line="240" w:lineRule="auto"/>
        <w:jc w:val="both"/>
        <w:rPr>
          <w:rFonts w:cstheme="minorHAnsi"/>
          <w:spacing w:val="-3"/>
          <w:sz w:val="24"/>
          <w:szCs w:val="24"/>
          <w:lang w:val="en-GB"/>
        </w:rPr>
      </w:pPr>
    </w:p>
    <w:p w14:paraId="0879D569" w14:textId="600CCD9A" w:rsidR="00E43402" w:rsidRDefault="00374300" w:rsidP="00E43402">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9270B7">
        <w:rPr>
          <w:rFonts w:cstheme="minorHAnsi"/>
          <w:spacing w:val="-3"/>
          <w:sz w:val="24"/>
          <w:szCs w:val="24"/>
        </w:rPr>
        <w:t xml:space="preserve">     </w:t>
      </w:r>
      <w:r w:rsidRPr="00374300">
        <w:rPr>
          <w:rFonts w:cstheme="minorHAnsi"/>
          <w:spacing w:val="-3"/>
          <w:sz w:val="24"/>
          <w:szCs w:val="24"/>
        </w:rPr>
        <w:t xml:space="preserve"> </w:t>
      </w:r>
      <w:r w:rsidR="00DA1E21">
        <w:rPr>
          <w:rFonts w:cstheme="minorHAnsi"/>
          <w:noProof/>
          <w:spacing w:val="-3"/>
          <w:sz w:val="24"/>
          <w:szCs w:val="24"/>
        </w:rPr>
        <w:drawing>
          <wp:inline distT="0" distB="0" distL="0" distR="0" wp14:anchorId="64B1BB80" wp14:editId="1C2A0D2C">
            <wp:extent cx="2897108" cy="2420508"/>
            <wp:effectExtent l="0" t="0" r="0" b="0"/>
            <wp:docPr id="199923704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06864" cy="2428659"/>
                    </a:xfrm>
                    <a:prstGeom prst="rect">
                      <a:avLst/>
                    </a:prstGeom>
                    <a:noFill/>
                  </pic:spPr>
                </pic:pic>
              </a:graphicData>
            </a:graphic>
          </wp:inline>
        </w:drawing>
      </w:r>
      <w:r w:rsidRPr="00374300">
        <w:rPr>
          <w:rFonts w:cstheme="minorHAnsi"/>
          <w:spacing w:val="-3"/>
          <w:sz w:val="24"/>
          <w:szCs w:val="24"/>
        </w:rPr>
        <w:t xml:space="preserve"> </w:t>
      </w:r>
      <w:r w:rsidR="008C6CBC">
        <w:rPr>
          <w:rFonts w:cstheme="minorHAnsi"/>
          <w:spacing w:val="-3"/>
          <w:sz w:val="24"/>
          <w:szCs w:val="24"/>
        </w:rPr>
        <w:t xml:space="preserve">  </w:t>
      </w:r>
      <w:r w:rsidR="00B8199A">
        <w:rPr>
          <w:rFonts w:cstheme="minorHAnsi"/>
          <w:spacing w:val="-3"/>
          <w:sz w:val="24"/>
          <w:szCs w:val="24"/>
        </w:rPr>
        <w:t xml:space="preserve"> </w:t>
      </w:r>
      <w:r w:rsidR="006D6813">
        <w:rPr>
          <w:rFonts w:cstheme="minorHAnsi"/>
          <w:spacing w:val="-3"/>
          <w:sz w:val="24"/>
          <w:szCs w:val="24"/>
        </w:rPr>
        <w:t xml:space="preserve"> </w:t>
      </w:r>
      <w:r w:rsidR="006D6813">
        <w:rPr>
          <w:rFonts w:cstheme="minorHAnsi"/>
          <w:noProof/>
          <w:spacing w:val="-3"/>
          <w:sz w:val="24"/>
          <w:szCs w:val="24"/>
        </w:rPr>
        <w:drawing>
          <wp:inline distT="0" distB="0" distL="0" distR="0" wp14:anchorId="5277A0E2" wp14:editId="353E2922">
            <wp:extent cx="2889250" cy="2419349"/>
            <wp:effectExtent l="0" t="0" r="6350" b="635"/>
            <wp:docPr id="1745771359"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98215" cy="2426856"/>
                    </a:xfrm>
                    <a:prstGeom prst="rect">
                      <a:avLst/>
                    </a:prstGeom>
                    <a:noFill/>
                  </pic:spPr>
                </pic:pic>
              </a:graphicData>
            </a:graphic>
          </wp:inline>
        </w:drawing>
      </w:r>
    </w:p>
    <w:p w14:paraId="0EAE4076" w14:textId="77777777" w:rsidR="00017C3D" w:rsidRPr="00374300" w:rsidRDefault="00017C3D" w:rsidP="00E43402">
      <w:pPr>
        <w:tabs>
          <w:tab w:val="left" w:pos="-720"/>
        </w:tabs>
        <w:suppressAutoHyphens/>
        <w:spacing w:after="0" w:line="240" w:lineRule="auto"/>
        <w:ind w:left="-567" w:right="-284"/>
        <w:jc w:val="both"/>
        <w:rPr>
          <w:rFonts w:cstheme="minorHAnsi"/>
          <w:spacing w:val="-3"/>
          <w:sz w:val="24"/>
          <w:szCs w:val="24"/>
        </w:rPr>
      </w:pPr>
    </w:p>
    <w:p w14:paraId="5617AA51" w14:textId="7A2E4036" w:rsidR="00374300" w:rsidRPr="00374300" w:rsidRDefault="00E43402" w:rsidP="006D6813">
      <w:pPr>
        <w:tabs>
          <w:tab w:val="left" w:pos="-720"/>
          <w:tab w:val="left" w:pos="566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9270B7">
        <w:rPr>
          <w:rFonts w:cstheme="minorHAnsi"/>
          <w:spacing w:val="-3"/>
          <w:sz w:val="24"/>
          <w:szCs w:val="24"/>
        </w:rPr>
        <w:t xml:space="preserve">   </w:t>
      </w:r>
      <w:r w:rsidRPr="00374300">
        <w:rPr>
          <w:rFonts w:cstheme="minorHAnsi"/>
          <w:spacing w:val="-3"/>
          <w:sz w:val="24"/>
          <w:szCs w:val="24"/>
        </w:rPr>
        <w:t xml:space="preserve"> </w:t>
      </w:r>
      <w:r>
        <w:rPr>
          <w:rFonts w:cstheme="minorHAnsi"/>
          <w:spacing w:val="-3"/>
          <w:sz w:val="24"/>
          <w:szCs w:val="24"/>
        </w:rPr>
        <w:t xml:space="preserve"> </w:t>
      </w:r>
      <w:r w:rsidR="003C757B">
        <w:rPr>
          <w:rFonts w:cstheme="minorHAnsi"/>
          <w:spacing w:val="-3"/>
          <w:sz w:val="24"/>
          <w:szCs w:val="24"/>
        </w:rPr>
        <w:t xml:space="preserve"> </w:t>
      </w:r>
      <w:r w:rsidR="006D6813">
        <w:rPr>
          <w:rFonts w:cstheme="minorHAnsi"/>
          <w:noProof/>
          <w:spacing w:val="-3"/>
          <w:sz w:val="24"/>
          <w:szCs w:val="24"/>
        </w:rPr>
        <w:drawing>
          <wp:inline distT="0" distB="0" distL="0" distR="0" wp14:anchorId="2FDF08AA" wp14:editId="4EE4B430">
            <wp:extent cx="2887980" cy="2463740"/>
            <wp:effectExtent l="0" t="0" r="7620" b="0"/>
            <wp:docPr id="3646655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95206" cy="2469904"/>
                    </a:xfrm>
                    <a:prstGeom prst="rect">
                      <a:avLst/>
                    </a:prstGeom>
                    <a:noFill/>
                  </pic:spPr>
                </pic:pic>
              </a:graphicData>
            </a:graphic>
          </wp:inline>
        </w:drawing>
      </w:r>
      <w:r w:rsidR="006D6813">
        <w:rPr>
          <w:rFonts w:cstheme="minorHAnsi"/>
          <w:spacing w:val="-3"/>
          <w:sz w:val="24"/>
          <w:szCs w:val="24"/>
        </w:rPr>
        <w:t xml:space="preserve">    </w:t>
      </w:r>
      <w:r w:rsidR="006D6813">
        <w:rPr>
          <w:rFonts w:cstheme="minorHAnsi"/>
          <w:noProof/>
          <w:spacing w:val="-3"/>
          <w:sz w:val="24"/>
          <w:szCs w:val="24"/>
        </w:rPr>
        <w:drawing>
          <wp:inline distT="0" distB="0" distL="0" distR="0" wp14:anchorId="14308445" wp14:editId="70FDE683">
            <wp:extent cx="2889250" cy="2465070"/>
            <wp:effectExtent l="0" t="0" r="6350" b="0"/>
            <wp:docPr id="1468214234"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90959" cy="2466528"/>
                    </a:xfrm>
                    <a:prstGeom prst="rect">
                      <a:avLst/>
                    </a:prstGeom>
                    <a:noFill/>
                  </pic:spPr>
                </pic:pic>
              </a:graphicData>
            </a:graphic>
          </wp:inline>
        </w:drawing>
      </w:r>
      <w:r w:rsidR="006D6813">
        <w:rPr>
          <w:rFonts w:cstheme="minorHAnsi"/>
          <w:spacing w:val="-3"/>
          <w:sz w:val="24"/>
          <w:szCs w:val="24"/>
        </w:rPr>
        <w:tab/>
      </w:r>
    </w:p>
    <w:p w14:paraId="4D26BFD0" w14:textId="77777777" w:rsidR="00B864DE" w:rsidRPr="002A10E9" w:rsidRDefault="00B864DE" w:rsidP="00124861">
      <w:pPr>
        <w:tabs>
          <w:tab w:val="left" w:pos="-720"/>
        </w:tabs>
        <w:suppressAutoHyphens/>
        <w:spacing w:after="0" w:line="240" w:lineRule="auto"/>
        <w:jc w:val="both"/>
        <w:rPr>
          <w:rFonts w:eastAsia="Times New Roman" w:cs="Calibri"/>
          <w:b/>
          <w:i/>
          <w:spacing w:val="-3"/>
          <w:sz w:val="20"/>
          <w:szCs w:val="24"/>
          <w:lang w:val="en-GB" w:eastAsia="hr-HR"/>
        </w:rPr>
      </w:pPr>
    </w:p>
    <w:p w14:paraId="24B8A7F2" w14:textId="42B51A1B" w:rsidR="00810A4B" w:rsidRPr="00041197" w:rsidRDefault="00810A4B" w:rsidP="00602844">
      <w:pPr>
        <w:tabs>
          <w:tab w:val="left" w:pos="-720"/>
        </w:tabs>
        <w:suppressAutoHyphens/>
        <w:spacing w:after="0" w:line="240" w:lineRule="auto"/>
        <w:jc w:val="both"/>
        <w:rPr>
          <w:rFonts w:cstheme="minorHAnsi"/>
          <w:spacing w:val="-3"/>
          <w:sz w:val="24"/>
          <w:szCs w:val="24"/>
          <w:lang w:val="en-GB"/>
        </w:rPr>
      </w:pPr>
      <w:r w:rsidRPr="00041197">
        <w:rPr>
          <w:rFonts w:cstheme="minorHAnsi"/>
          <w:spacing w:val="-3"/>
          <w:sz w:val="24"/>
          <w:szCs w:val="24"/>
          <w:lang w:val="en-GB"/>
        </w:rPr>
        <w:t xml:space="preserve"> </w:t>
      </w:r>
    </w:p>
    <w:p w14:paraId="3AF7BC74" w14:textId="77777777" w:rsidR="00370E5A" w:rsidRDefault="00370E5A" w:rsidP="00602844">
      <w:pPr>
        <w:tabs>
          <w:tab w:val="left" w:pos="-720"/>
          <w:tab w:val="left" w:pos="426"/>
        </w:tabs>
        <w:suppressAutoHyphens/>
        <w:spacing w:after="0" w:line="240" w:lineRule="auto"/>
        <w:jc w:val="both"/>
        <w:rPr>
          <w:rFonts w:eastAsia="Times New Roman" w:cs="Calibri"/>
          <w:spacing w:val="-3"/>
          <w:sz w:val="20"/>
          <w:szCs w:val="24"/>
          <w:lang w:val="en-GB" w:eastAsia="hr-HR"/>
        </w:rPr>
        <w:sectPr w:rsidR="00370E5A" w:rsidSect="00F11426">
          <w:footerReference w:type="default" r:id="rId42"/>
          <w:pgSz w:w="11906" w:h="16838"/>
          <w:pgMar w:top="1417" w:right="1416" w:bottom="1417" w:left="1417" w:header="708" w:footer="708" w:gutter="0"/>
          <w:cols w:space="708"/>
          <w:docGrid w:linePitch="360"/>
        </w:sectPr>
      </w:pPr>
    </w:p>
    <w:p w14:paraId="38B74870" w14:textId="77777777" w:rsidR="00902093" w:rsidRPr="00A24707"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A24707">
        <w:rPr>
          <w:rFonts w:ascii="Arial" w:eastAsia="Times New Roman" w:hAnsi="Arial" w:cs="Arial"/>
          <w:b/>
          <w:i/>
          <w:spacing w:val="-3"/>
          <w:sz w:val="20"/>
          <w:szCs w:val="20"/>
          <w:lang w:val="en-GB" w:eastAsia="hr-HR"/>
        </w:rPr>
        <w:lastRenderedPageBreak/>
        <w:t xml:space="preserve">Total liabilities </w:t>
      </w:r>
    </w:p>
    <w:p w14:paraId="6A62C73A" w14:textId="77777777" w:rsidR="00902093" w:rsidRPr="00A24707"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68D366F7" w14:textId="508FC63D" w:rsidR="00383965" w:rsidRPr="00A24707" w:rsidRDefault="00902093" w:rsidP="00902093">
      <w:pPr>
        <w:tabs>
          <w:tab w:val="left" w:pos="-720"/>
        </w:tabs>
        <w:suppressAutoHyphens/>
        <w:spacing w:after="0" w:line="240" w:lineRule="auto"/>
        <w:jc w:val="both"/>
        <w:rPr>
          <w:rFonts w:ascii="Arial" w:hAnsi="Arial" w:cs="Arial"/>
          <w:spacing w:val="-3"/>
          <w:sz w:val="20"/>
          <w:szCs w:val="20"/>
          <w:lang w:val="en-GB"/>
        </w:rPr>
      </w:pPr>
      <w:r w:rsidRPr="00A24707">
        <w:rPr>
          <w:rFonts w:ascii="Arial" w:hAnsi="Arial" w:cs="Arial"/>
          <w:spacing w:val="-3"/>
          <w:sz w:val="20"/>
          <w:szCs w:val="20"/>
          <w:lang w:val="en-GB"/>
        </w:rPr>
        <w:t xml:space="preserve">As </w:t>
      </w:r>
      <w:proofErr w:type="gramStart"/>
      <w:r w:rsidRPr="00A24707">
        <w:rPr>
          <w:rFonts w:ascii="Arial" w:hAnsi="Arial" w:cs="Arial"/>
          <w:spacing w:val="-3"/>
          <w:sz w:val="20"/>
          <w:szCs w:val="20"/>
          <w:lang w:val="en-GB"/>
        </w:rPr>
        <w:t>at</w:t>
      </w:r>
      <w:proofErr w:type="gramEnd"/>
      <w:r w:rsidRPr="00A24707">
        <w:rPr>
          <w:rFonts w:ascii="Arial" w:hAnsi="Arial" w:cs="Arial"/>
          <w:spacing w:val="-3"/>
          <w:sz w:val="20"/>
          <w:szCs w:val="20"/>
          <w:lang w:val="en-GB"/>
        </w:rPr>
        <w:t xml:space="preserve"> 30 June 202</w:t>
      </w:r>
      <w:r w:rsidR="0054069A">
        <w:rPr>
          <w:rFonts w:ascii="Arial" w:hAnsi="Arial" w:cs="Arial"/>
          <w:spacing w:val="-3"/>
          <w:sz w:val="20"/>
          <w:szCs w:val="20"/>
          <w:lang w:val="en-GB"/>
        </w:rPr>
        <w:t>5</w:t>
      </w:r>
      <w:r w:rsidRPr="00A24707">
        <w:rPr>
          <w:rFonts w:ascii="Arial" w:hAnsi="Arial" w:cs="Arial"/>
          <w:spacing w:val="-3"/>
          <w:sz w:val="20"/>
          <w:szCs w:val="20"/>
          <w:lang w:val="en-GB"/>
        </w:rPr>
        <w:t xml:space="preserve">, total liabilities amounted to </w:t>
      </w:r>
      <w:r w:rsidR="00900ED1">
        <w:rPr>
          <w:rFonts w:ascii="Arial" w:hAnsi="Arial" w:cs="Arial"/>
          <w:spacing w:val="-3"/>
          <w:sz w:val="20"/>
          <w:szCs w:val="20"/>
          <w:lang w:val="en-GB"/>
        </w:rPr>
        <w:t>EUR</w:t>
      </w:r>
      <w:r w:rsidRPr="00A24707">
        <w:rPr>
          <w:rFonts w:ascii="Arial" w:hAnsi="Arial" w:cs="Arial"/>
          <w:spacing w:val="-3"/>
          <w:sz w:val="20"/>
          <w:szCs w:val="20"/>
          <w:lang w:val="en-GB"/>
        </w:rPr>
        <w:t xml:space="preserve"> </w:t>
      </w:r>
      <w:r w:rsidR="00900ED1">
        <w:rPr>
          <w:rFonts w:ascii="Arial" w:hAnsi="Arial" w:cs="Arial"/>
          <w:spacing w:val="-3"/>
          <w:sz w:val="20"/>
          <w:szCs w:val="20"/>
          <w:lang w:val="en-GB"/>
        </w:rPr>
        <w:t>2,</w:t>
      </w:r>
      <w:r w:rsidR="002F36CA">
        <w:rPr>
          <w:rFonts w:ascii="Arial" w:hAnsi="Arial" w:cs="Arial"/>
          <w:spacing w:val="-3"/>
          <w:sz w:val="20"/>
          <w:szCs w:val="20"/>
          <w:lang w:val="en-GB"/>
        </w:rPr>
        <w:t>422</w:t>
      </w:r>
      <w:r w:rsidR="007E5B04">
        <w:rPr>
          <w:rFonts w:ascii="Arial" w:hAnsi="Arial" w:cs="Arial"/>
          <w:spacing w:val="-3"/>
          <w:sz w:val="20"/>
          <w:szCs w:val="20"/>
          <w:lang w:val="en-GB"/>
        </w:rPr>
        <w:t>.</w:t>
      </w:r>
      <w:r w:rsidR="002F36CA">
        <w:rPr>
          <w:rFonts w:ascii="Arial" w:hAnsi="Arial" w:cs="Arial"/>
          <w:spacing w:val="-3"/>
          <w:sz w:val="20"/>
          <w:szCs w:val="20"/>
          <w:lang w:val="en-GB"/>
        </w:rPr>
        <w:t>3</w:t>
      </w:r>
      <w:r w:rsidR="00900ED1">
        <w:rPr>
          <w:rFonts w:ascii="Arial" w:hAnsi="Arial" w:cs="Arial"/>
          <w:spacing w:val="-3"/>
          <w:sz w:val="20"/>
          <w:szCs w:val="20"/>
          <w:lang w:val="en-GB"/>
        </w:rPr>
        <w:t xml:space="preserve"> </w:t>
      </w:r>
      <w:r w:rsidRPr="00A24707">
        <w:rPr>
          <w:rFonts w:ascii="Arial" w:hAnsi="Arial" w:cs="Arial"/>
          <w:spacing w:val="-3"/>
          <w:sz w:val="20"/>
          <w:szCs w:val="20"/>
          <w:lang w:val="en-GB"/>
        </w:rPr>
        <w:t>million, which represents 6</w:t>
      </w:r>
      <w:r w:rsidR="002F36CA">
        <w:rPr>
          <w:rFonts w:ascii="Arial" w:hAnsi="Arial" w:cs="Arial"/>
          <w:spacing w:val="-3"/>
          <w:sz w:val="20"/>
          <w:szCs w:val="20"/>
          <w:lang w:val="en-GB"/>
        </w:rPr>
        <w:t>0</w:t>
      </w:r>
      <w:r w:rsidRPr="00A24707">
        <w:rPr>
          <w:rFonts w:ascii="Arial" w:hAnsi="Arial" w:cs="Arial"/>
          <w:spacing w:val="-3"/>
          <w:sz w:val="20"/>
          <w:szCs w:val="20"/>
          <w:lang w:val="en-GB"/>
        </w:rPr>
        <w:t>.</w:t>
      </w:r>
      <w:r w:rsidR="002F36CA">
        <w:rPr>
          <w:rFonts w:ascii="Arial" w:hAnsi="Arial" w:cs="Arial"/>
          <w:spacing w:val="-3"/>
          <w:sz w:val="20"/>
          <w:szCs w:val="20"/>
          <w:lang w:val="en-GB"/>
        </w:rPr>
        <w:t>8</w:t>
      </w:r>
      <w:r w:rsidRPr="00A24707">
        <w:rPr>
          <w:rFonts w:ascii="Arial" w:hAnsi="Arial" w:cs="Arial"/>
          <w:spacing w:val="-3"/>
          <w:sz w:val="20"/>
          <w:szCs w:val="20"/>
          <w:lang w:val="en-GB"/>
        </w:rPr>
        <w:t xml:space="preserve"> percent of total liabilities and total equity. </w:t>
      </w:r>
      <w:proofErr w:type="gramStart"/>
      <w:r w:rsidRPr="00A24707">
        <w:rPr>
          <w:rFonts w:ascii="Arial" w:hAnsi="Arial" w:cs="Arial"/>
          <w:spacing w:val="-3"/>
          <w:sz w:val="20"/>
          <w:szCs w:val="20"/>
          <w:lang w:val="en-GB"/>
        </w:rPr>
        <w:t>The</w:t>
      </w:r>
      <w:proofErr w:type="gramEnd"/>
      <w:r w:rsidRPr="00A24707">
        <w:rPr>
          <w:rFonts w:ascii="Arial" w:hAnsi="Arial" w:cs="Arial"/>
          <w:spacing w:val="-3"/>
          <w:sz w:val="20"/>
          <w:szCs w:val="20"/>
          <w:lang w:val="en-GB"/>
        </w:rPr>
        <w:t xml:space="preserve"> major part of total liabilities consists of HBOR’s borrowings in the total amount of </w:t>
      </w:r>
      <w:r w:rsidR="00193CEC">
        <w:rPr>
          <w:rFonts w:ascii="Arial" w:hAnsi="Arial" w:cs="Arial"/>
          <w:spacing w:val="-3"/>
          <w:sz w:val="20"/>
          <w:szCs w:val="20"/>
          <w:lang w:val="en-GB"/>
        </w:rPr>
        <w:t>EUR 2,2</w:t>
      </w:r>
      <w:r w:rsidR="002F5BBC">
        <w:rPr>
          <w:rFonts w:ascii="Arial" w:hAnsi="Arial" w:cs="Arial"/>
          <w:spacing w:val="-3"/>
          <w:sz w:val="20"/>
          <w:szCs w:val="20"/>
          <w:lang w:val="en-GB"/>
        </w:rPr>
        <w:t>77</w:t>
      </w:r>
      <w:r w:rsidR="007E5B04">
        <w:rPr>
          <w:rFonts w:ascii="Arial" w:hAnsi="Arial" w:cs="Arial"/>
          <w:spacing w:val="-3"/>
          <w:sz w:val="20"/>
          <w:szCs w:val="20"/>
          <w:lang w:val="en-GB"/>
        </w:rPr>
        <w:t>.</w:t>
      </w:r>
      <w:r w:rsidR="002F5BBC">
        <w:rPr>
          <w:rFonts w:ascii="Arial" w:hAnsi="Arial" w:cs="Arial"/>
          <w:spacing w:val="-3"/>
          <w:sz w:val="20"/>
          <w:szCs w:val="20"/>
          <w:lang w:val="en-GB"/>
        </w:rPr>
        <w:t>4</w:t>
      </w:r>
      <w:r w:rsidRPr="00A24707">
        <w:rPr>
          <w:rFonts w:ascii="Arial" w:hAnsi="Arial" w:cs="Arial"/>
          <w:spacing w:val="-3"/>
          <w:sz w:val="20"/>
          <w:szCs w:val="20"/>
          <w:lang w:val="en-GB"/>
        </w:rPr>
        <w:t xml:space="preserve"> million.</w:t>
      </w:r>
    </w:p>
    <w:p w14:paraId="5E8D83BE" w14:textId="77777777" w:rsidR="00383965" w:rsidRPr="00A24707" w:rsidRDefault="00383965" w:rsidP="00FF28FF">
      <w:pPr>
        <w:tabs>
          <w:tab w:val="left" w:pos="-720"/>
        </w:tabs>
        <w:suppressAutoHyphens/>
        <w:spacing w:after="0" w:line="240" w:lineRule="auto"/>
        <w:jc w:val="both"/>
        <w:rPr>
          <w:rFonts w:ascii="Arial" w:hAnsi="Arial" w:cs="Arial"/>
          <w:spacing w:val="-3"/>
          <w:sz w:val="20"/>
          <w:szCs w:val="20"/>
          <w:lang w:val="en-GB"/>
        </w:rPr>
      </w:pPr>
    </w:p>
    <w:p w14:paraId="05705E7E" w14:textId="41096CFF" w:rsidR="00324025" w:rsidRPr="00A24707" w:rsidRDefault="0044218B" w:rsidP="00FF28FF">
      <w:pPr>
        <w:tabs>
          <w:tab w:val="left" w:pos="-720"/>
        </w:tabs>
        <w:suppressAutoHyphens/>
        <w:spacing w:after="0" w:line="240" w:lineRule="auto"/>
        <w:jc w:val="both"/>
        <w:rPr>
          <w:rFonts w:ascii="Arial" w:hAnsi="Arial" w:cs="Arial"/>
          <w:spacing w:val="-3"/>
          <w:sz w:val="20"/>
          <w:szCs w:val="20"/>
          <w:lang w:val="en-GB"/>
        </w:rPr>
      </w:pPr>
      <w:r w:rsidRPr="00A24707">
        <w:rPr>
          <w:rFonts w:ascii="Arial" w:hAnsi="Arial" w:cs="Arial"/>
          <w:spacing w:val="-3"/>
          <w:sz w:val="20"/>
          <w:szCs w:val="20"/>
          <w:lang w:val="en-GB"/>
        </w:rPr>
        <w:t xml:space="preserve">Borrowings </w:t>
      </w:r>
      <w:r w:rsidR="002C5776">
        <w:rPr>
          <w:rFonts w:ascii="Arial" w:hAnsi="Arial" w:cs="Arial"/>
          <w:spacing w:val="-3"/>
          <w:sz w:val="20"/>
          <w:szCs w:val="20"/>
          <w:lang w:val="en-GB"/>
        </w:rPr>
        <w:t>de</w:t>
      </w:r>
      <w:r w:rsidR="001E0C96" w:rsidRPr="00A24707">
        <w:rPr>
          <w:rFonts w:ascii="Arial" w:hAnsi="Arial" w:cs="Arial"/>
          <w:spacing w:val="-3"/>
          <w:sz w:val="20"/>
          <w:szCs w:val="20"/>
          <w:lang w:val="en-GB"/>
        </w:rPr>
        <w:t>c</w:t>
      </w:r>
      <w:r w:rsidRPr="00A24707">
        <w:rPr>
          <w:rFonts w:ascii="Arial" w:hAnsi="Arial" w:cs="Arial"/>
          <w:spacing w:val="-3"/>
          <w:sz w:val="20"/>
          <w:szCs w:val="20"/>
          <w:lang w:val="en-GB"/>
        </w:rPr>
        <w:t>reased by</w:t>
      </w:r>
      <w:r w:rsidR="00810A4B" w:rsidRPr="00A24707">
        <w:rPr>
          <w:rFonts w:ascii="Arial" w:hAnsi="Arial" w:cs="Arial"/>
          <w:spacing w:val="-3"/>
          <w:sz w:val="20"/>
          <w:szCs w:val="20"/>
          <w:lang w:val="en-GB"/>
        </w:rPr>
        <w:t xml:space="preserve"> </w:t>
      </w:r>
      <w:r w:rsidR="00FE423E">
        <w:rPr>
          <w:rFonts w:ascii="Arial" w:hAnsi="Arial" w:cs="Arial"/>
          <w:spacing w:val="-3"/>
          <w:sz w:val="20"/>
          <w:szCs w:val="20"/>
          <w:lang w:val="en-GB"/>
        </w:rPr>
        <w:t>0</w:t>
      </w:r>
      <w:r w:rsidR="000F2D32" w:rsidRPr="00A24707">
        <w:rPr>
          <w:rFonts w:ascii="Arial" w:hAnsi="Arial" w:cs="Arial"/>
          <w:spacing w:val="-3"/>
          <w:sz w:val="20"/>
          <w:szCs w:val="20"/>
          <w:lang w:val="en-GB"/>
        </w:rPr>
        <w:t>.</w:t>
      </w:r>
      <w:r w:rsidR="00FE423E">
        <w:rPr>
          <w:rFonts w:ascii="Arial" w:hAnsi="Arial" w:cs="Arial"/>
          <w:spacing w:val="-3"/>
          <w:sz w:val="20"/>
          <w:szCs w:val="20"/>
          <w:lang w:val="en-GB"/>
        </w:rPr>
        <w:t>5</w:t>
      </w:r>
      <w:r w:rsidR="00C31F69" w:rsidRPr="00A24707">
        <w:rPr>
          <w:rFonts w:ascii="Arial" w:hAnsi="Arial" w:cs="Arial"/>
          <w:spacing w:val="-3"/>
          <w:sz w:val="20"/>
          <w:szCs w:val="20"/>
          <w:lang w:val="en-GB"/>
        </w:rPr>
        <w:t xml:space="preserve"> p</w:t>
      </w:r>
      <w:r w:rsidRPr="00A24707">
        <w:rPr>
          <w:rFonts w:ascii="Arial" w:hAnsi="Arial" w:cs="Arial"/>
          <w:spacing w:val="-3"/>
          <w:sz w:val="20"/>
          <w:szCs w:val="20"/>
          <w:lang w:val="en-GB"/>
        </w:rPr>
        <w:t>ercent compared with the beginning of the year</w:t>
      </w:r>
      <w:r w:rsidR="00324025" w:rsidRPr="00A24707">
        <w:rPr>
          <w:rFonts w:ascii="Arial" w:hAnsi="Arial" w:cs="Arial"/>
          <w:spacing w:val="-3"/>
          <w:sz w:val="20"/>
          <w:szCs w:val="20"/>
          <w:lang w:val="en-GB"/>
        </w:rPr>
        <w:t xml:space="preserve">, </w:t>
      </w:r>
      <w:r w:rsidR="00285B71" w:rsidRPr="00A24707">
        <w:rPr>
          <w:rFonts w:ascii="Arial" w:hAnsi="Arial" w:cs="Arial"/>
          <w:spacing w:val="-3"/>
          <w:sz w:val="20"/>
          <w:szCs w:val="20"/>
          <w:lang w:val="en-GB"/>
        </w:rPr>
        <w:t>whereas changes in these liabilities are shown in the following table</w:t>
      </w:r>
      <w:r w:rsidR="00324025" w:rsidRPr="00A24707">
        <w:rPr>
          <w:rFonts w:ascii="Arial" w:hAnsi="Arial" w:cs="Arial"/>
          <w:spacing w:val="-3"/>
          <w:sz w:val="20"/>
          <w:szCs w:val="20"/>
          <w:lang w:val="en-GB"/>
        </w:rPr>
        <w:t>:</w:t>
      </w:r>
    </w:p>
    <w:p w14:paraId="42E5A84B" w14:textId="77777777" w:rsidR="00324025" w:rsidRPr="00A24707" w:rsidRDefault="00324025" w:rsidP="00FF28FF">
      <w:pPr>
        <w:tabs>
          <w:tab w:val="left" w:pos="-720"/>
        </w:tabs>
        <w:suppressAutoHyphens/>
        <w:spacing w:after="0" w:line="240" w:lineRule="auto"/>
        <w:jc w:val="both"/>
        <w:rPr>
          <w:rFonts w:ascii="Arial" w:hAnsi="Arial" w:cs="Arial"/>
          <w:spacing w:val="-3"/>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1939D0" w:rsidRPr="00A24707" w14:paraId="3248A08D" w14:textId="77777777" w:rsidTr="00431335">
        <w:trPr>
          <w:trHeight w:val="295"/>
        </w:trPr>
        <w:tc>
          <w:tcPr>
            <w:tcW w:w="6379" w:type="dxa"/>
            <w:vAlign w:val="bottom"/>
          </w:tcPr>
          <w:p w14:paraId="7F7618A3" w14:textId="77777777" w:rsidR="001939D0" w:rsidRPr="00A24707" w:rsidRDefault="001939D0" w:rsidP="001939D0">
            <w:pPr>
              <w:tabs>
                <w:tab w:val="left" w:pos="-720"/>
              </w:tabs>
              <w:suppressAutoHyphens/>
              <w:rPr>
                <w:rFonts w:ascii="Arial" w:hAnsi="Arial" w:cs="Arial"/>
                <w:spacing w:val="-3"/>
                <w:sz w:val="20"/>
                <w:szCs w:val="20"/>
                <w:lang w:val="en-GB"/>
              </w:rPr>
            </w:pPr>
          </w:p>
        </w:tc>
        <w:tc>
          <w:tcPr>
            <w:tcW w:w="2684" w:type="dxa"/>
            <w:vAlign w:val="bottom"/>
          </w:tcPr>
          <w:p w14:paraId="709C2BC9" w14:textId="08C8A9A4" w:rsidR="001939D0" w:rsidRPr="00A24707" w:rsidRDefault="001939D0" w:rsidP="001939D0">
            <w:pPr>
              <w:tabs>
                <w:tab w:val="left" w:pos="-720"/>
              </w:tabs>
              <w:suppressAutoHyphens/>
              <w:jc w:val="right"/>
              <w:rPr>
                <w:rFonts w:ascii="Arial" w:hAnsi="Arial" w:cs="Arial"/>
                <w:spacing w:val="-3"/>
                <w:sz w:val="20"/>
                <w:szCs w:val="20"/>
                <w:lang w:val="en-GB"/>
              </w:rPr>
            </w:pPr>
            <w:r w:rsidRPr="00EE2578">
              <w:rPr>
                <w:rFonts w:ascii="Arial" w:hAnsi="Arial" w:cs="Arial"/>
                <w:spacing w:val="-3"/>
                <w:sz w:val="20"/>
                <w:szCs w:val="20"/>
                <w:lang w:val="en-GB"/>
              </w:rPr>
              <w:t>(in million</w:t>
            </w:r>
            <w:r>
              <w:rPr>
                <w:rFonts w:ascii="Arial" w:hAnsi="Arial" w:cs="Arial"/>
                <w:spacing w:val="-3"/>
                <w:sz w:val="20"/>
                <w:szCs w:val="20"/>
                <w:lang w:val="en-GB"/>
              </w:rPr>
              <w:t>s of euros</w:t>
            </w:r>
            <w:r w:rsidRPr="00EE2578">
              <w:rPr>
                <w:rFonts w:ascii="Arial" w:hAnsi="Arial" w:cs="Arial"/>
                <w:spacing w:val="-3"/>
                <w:sz w:val="20"/>
                <w:szCs w:val="20"/>
                <w:lang w:val="en-GB"/>
              </w:rPr>
              <w:t>)</w:t>
            </w:r>
          </w:p>
        </w:tc>
      </w:tr>
      <w:tr w:rsidR="001E0C96" w:rsidRPr="00A24707" w14:paraId="22982424" w14:textId="77777777" w:rsidTr="00160DCE">
        <w:trPr>
          <w:trHeight w:val="326"/>
        </w:trPr>
        <w:tc>
          <w:tcPr>
            <w:tcW w:w="6379" w:type="dxa"/>
            <w:vAlign w:val="bottom"/>
          </w:tcPr>
          <w:p w14:paraId="7A000FCB" w14:textId="46B29C94" w:rsidR="001E0C96" w:rsidRPr="00A24707" w:rsidRDefault="001E0C96" w:rsidP="00160DCE">
            <w:pPr>
              <w:tabs>
                <w:tab w:val="left" w:pos="-720"/>
              </w:tabs>
              <w:suppressAutoHyphens/>
              <w:rPr>
                <w:rFonts w:ascii="Arial" w:hAnsi="Arial" w:cs="Arial"/>
                <w:spacing w:val="-3"/>
                <w:sz w:val="20"/>
                <w:szCs w:val="20"/>
                <w:lang w:val="en-GB"/>
              </w:rPr>
            </w:pPr>
            <w:r w:rsidRPr="00A24707">
              <w:rPr>
                <w:rFonts w:ascii="Arial" w:hAnsi="Arial" w:cs="Arial"/>
                <w:spacing w:val="-3"/>
                <w:sz w:val="20"/>
                <w:szCs w:val="20"/>
                <w:lang w:val="en-GB"/>
              </w:rPr>
              <w:t xml:space="preserve">- Draw-down of funds borrowed </w:t>
            </w:r>
          </w:p>
        </w:tc>
        <w:tc>
          <w:tcPr>
            <w:tcW w:w="2684" w:type="dxa"/>
            <w:vAlign w:val="bottom"/>
          </w:tcPr>
          <w:p w14:paraId="705FB463" w14:textId="1D890E29" w:rsidR="001E0C96" w:rsidRPr="00A24707" w:rsidRDefault="00D918F2"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295</w:t>
            </w:r>
            <w:r w:rsidR="002C5776">
              <w:rPr>
                <w:rFonts w:ascii="Arial" w:hAnsi="Arial" w:cs="Arial"/>
                <w:spacing w:val="-3"/>
                <w:sz w:val="20"/>
                <w:szCs w:val="20"/>
              </w:rPr>
              <w:t>.</w:t>
            </w:r>
            <w:r>
              <w:rPr>
                <w:rFonts w:ascii="Arial" w:hAnsi="Arial" w:cs="Arial"/>
                <w:spacing w:val="-3"/>
                <w:sz w:val="20"/>
                <w:szCs w:val="20"/>
              </w:rPr>
              <w:t>0</w:t>
            </w:r>
          </w:p>
        </w:tc>
      </w:tr>
      <w:tr w:rsidR="001E0C96" w:rsidRPr="00A24707" w14:paraId="0AAB44B9" w14:textId="77777777" w:rsidTr="002A10E9">
        <w:tc>
          <w:tcPr>
            <w:tcW w:w="6379" w:type="dxa"/>
          </w:tcPr>
          <w:p w14:paraId="41AF3B64" w14:textId="11B5C66D" w:rsidR="001E0C96" w:rsidRPr="00A24707" w:rsidRDefault="001E0C96" w:rsidP="001E0C96">
            <w:pPr>
              <w:tabs>
                <w:tab w:val="left" w:pos="-720"/>
              </w:tabs>
              <w:suppressAutoHyphens/>
              <w:jc w:val="both"/>
              <w:rPr>
                <w:rFonts w:ascii="Arial" w:hAnsi="Arial" w:cs="Arial"/>
                <w:spacing w:val="-3"/>
                <w:sz w:val="20"/>
                <w:szCs w:val="20"/>
                <w:lang w:val="en-GB"/>
              </w:rPr>
            </w:pPr>
            <w:r w:rsidRPr="00A24707">
              <w:rPr>
                <w:rFonts w:ascii="Arial" w:hAnsi="Arial" w:cs="Arial"/>
                <w:spacing w:val="-3"/>
                <w:sz w:val="20"/>
                <w:szCs w:val="20"/>
                <w:lang w:val="en-GB"/>
              </w:rPr>
              <w:t>- Repayments of borrowings</w:t>
            </w:r>
          </w:p>
        </w:tc>
        <w:tc>
          <w:tcPr>
            <w:tcW w:w="2684" w:type="dxa"/>
          </w:tcPr>
          <w:p w14:paraId="7A863BA6" w14:textId="08A88ED5" w:rsidR="001E0C96" w:rsidRPr="00A24707" w:rsidRDefault="001E0C96" w:rsidP="001E0C96">
            <w:pPr>
              <w:tabs>
                <w:tab w:val="left" w:pos="-720"/>
              </w:tabs>
              <w:suppressAutoHyphens/>
              <w:jc w:val="right"/>
              <w:rPr>
                <w:rFonts w:ascii="Arial" w:hAnsi="Arial" w:cs="Arial"/>
                <w:spacing w:val="-3"/>
                <w:sz w:val="20"/>
                <w:szCs w:val="20"/>
                <w:lang w:val="en-GB"/>
              </w:rPr>
            </w:pPr>
            <w:r w:rsidRPr="00A24707">
              <w:rPr>
                <w:rFonts w:ascii="Arial" w:hAnsi="Arial" w:cs="Arial"/>
                <w:spacing w:val="-3"/>
                <w:sz w:val="20"/>
                <w:szCs w:val="20"/>
              </w:rPr>
              <w:t>(</w:t>
            </w:r>
            <w:r w:rsidR="002C5776">
              <w:rPr>
                <w:rFonts w:ascii="Arial" w:hAnsi="Arial" w:cs="Arial"/>
                <w:spacing w:val="-3"/>
                <w:sz w:val="20"/>
                <w:szCs w:val="20"/>
              </w:rPr>
              <w:t>3</w:t>
            </w:r>
            <w:r w:rsidR="00D918F2">
              <w:rPr>
                <w:rFonts w:ascii="Arial" w:hAnsi="Arial" w:cs="Arial"/>
                <w:spacing w:val="-3"/>
                <w:sz w:val="20"/>
                <w:szCs w:val="20"/>
              </w:rPr>
              <w:t>02</w:t>
            </w:r>
            <w:r w:rsidR="002C5776">
              <w:rPr>
                <w:rFonts w:ascii="Arial" w:hAnsi="Arial" w:cs="Arial"/>
                <w:spacing w:val="-3"/>
                <w:sz w:val="20"/>
                <w:szCs w:val="20"/>
              </w:rPr>
              <w:t>.</w:t>
            </w:r>
            <w:r w:rsidR="00D918F2">
              <w:rPr>
                <w:rFonts w:ascii="Arial" w:hAnsi="Arial" w:cs="Arial"/>
                <w:spacing w:val="-3"/>
                <w:sz w:val="20"/>
                <w:szCs w:val="20"/>
              </w:rPr>
              <w:t>9</w:t>
            </w:r>
            <w:r w:rsidRPr="00A24707">
              <w:rPr>
                <w:rFonts w:ascii="Arial" w:hAnsi="Arial" w:cs="Arial"/>
                <w:spacing w:val="-3"/>
                <w:sz w:val="20"/>
                <w:szCs w:val="20"/>
              </w:rPr>
              <w:t>)</w:t>
            </w:r>
          </w:p>
        </w:tc>
      </w:tr>
      <w:tr w:rsidR="001E0C96" w:rsidRPr="00A24707" w14:paraId="1522A5D6" w14:textId="77777777" w:rsidTr="002A10E9">
        <w:tc>
          <w:tcPr>
            <w:tcW w:w="6379" w:type="dxa"/>
          </w:tcPr>
          <w:p w14:paraId="67781298" w14:textId="77777777" w:rsidR="001E0C96" w:rsidRPr="00A24707" w:rsidRDefault="001E0C96" w:rsidP="001E0C96">
            <w:pPr>
              <w:tabs>
                <w:tab w:val="left" w:pos="-720"/>
              </w:tabs>
              <w:suppressAutoHyphens/>
              <w:jc w:val="both"/>
              <w:rPr>
                <w:rFonts w:ascii="Arial" w:hAnsi="Arial" w:cs="Arial"/>
                <w:spacing w:val="-3"/>
                <w:sz w:val="20"/>
                <w:szCs w:val="20"/>
                <w:lang w:val="en-GB"/>
              </w:rPr>
            </w:pPr>
            <w:r w:rsidRPr="00A24707">
              <w:rPr>
                <w:rFonts w:ascii="Arial" w:hAnsi="Arial" w:cs="Arial"/>
                <w:spacing w:val="-3"/>
                <w:sz w:val="20"/>
                <w:szCs w:val="20"/>
                <w:lang w:val="en-GB"/>
              </w:rPr>
              <w:t>- Foreign exchange gains or losses</w:t>
            </w:r>
          </w:p>
        </w:tc>
        <w:tc>
          <w:tcPr>
            <w:tcW w:w="2684" w:type="dxa"/>
          </w:tcPr>
          <w:p w14:paraId="046E4390" w14:textId="3D4615F4" w:rsidR="001E0C96" w:rsidRPr="00A24707" w:rsidRDefault="00D918F2"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(1.9)</w:t>
            </w:r>
          </w:p>
        </w:tc>
      </w:tr>
      <w:tr w:rsidR="001E0C96" w:rsidRPr="00A24707" w14:paraId="5A6B98AE" w14:textId="77777777" w:rsidTr="002A10E9">
        <w:tc>
          <w:tcPr>
            <w:tcW w:w="6379" w:type="dxa"/>
            <w:tcBorders>
              <w:bottom w:val="single" w:sz="4" w:space="0" w:color="auto"/>
            </w:tcBorders>
          </w:tcPr>
          <w:p w14:paraId="6D40B0E5" w14:textId="77777777" w:rsidR="001E0C96" w:rsidRPr="00A24707" w:rsidRDefault="001E0C96" w:rsidP="001E0C96">
            <w:pPr>
              <w:tabs>
                <w:tab w:val="left" w:pos="-720"/>
              </w:tabs>
              <w:suppressAutoHyphens/>
              <w:jc w:val="both"/>
              <w:rPr>
                <w:rFonts w:ascii="Arial" w:hAnsi="Arial" w:cs="Arial"/>
                <w:spacing w:val="-3"/>
                <w:sz w:val="20"/>
                <w:szCs w:val="20"/>
                <w:lang w:val="en-GB"/>
              </w:rPr>
            </w:pPr>
            <w:r w:rsidRPr="00A24707">
              <w:rPr>
                <w:rFonts w:ascii="Arial" w:hAnsi="Arial" w:cs="Arial"/>
                <w:spacing w:val="-3"/>
                <w:sz w:val="20"/>
                <w:szCs w:val="20"/>
                <w:lang w:val="en-GB"/>
              </w:rPr>
              <w:t>- Other calculations *</w:t>
            </w:r>
          </w:p>
        </w:tc>
        <w:tc>
          <w:tcPr>
            <w:tcW w:w="2684" w:type="dxa"/>
            <w:tcBorders>
              <w:bottom w:val="single" w:sz="4" w:space="0" w:color="auto"/>
            </w:tcBorders>
          </w:tcPr>
          <w:p w14:paraId="65CF3D32" w14:textId="12DC88EF" w:rsidR="001E0C96" w:rsidRPr="00A24707" w:rsidRDefault="00D918F2"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w:t>
            </w:r>
            <w:r w:rsidR="002C5776">
              <w:rPr>
                <w:rFonts w:ascii="Arial" w:hAnsi="Arial" w:cs="Arial"/>
                <w:spacing w:val="-3"/>
                <w:sz w:val="20"/>
                <w:szCs w:val="20"/>
              </w:rPr>
              <w:t>1.</w:t>
            </w:r>
            <w:r>
              <w:rPr>
                <w:rFonts w:ascii="Arial" w:hAnsi="Arial" w:cs="Arial"/>
                <w:spacing w:val="-3"/>
                <w:sz w:val="20"/>
                <w:szCs w:val="20"/>
              </w:rPr>
              <w:t>1)</w:t>
            </w:r>
          </w:p>
        </w:tc>
      </w:tr>
      <w:tr w:rsidR="001E0C96" w:rsidRPr="00A24707" w14:paraId="091588C6" w14:textId="77777777" w:rsidTr="00431335">
        <w:tc>
          <w:tcPr>
            <w:tcW w:w="6379" w:type="dxa"/>
            <w:tcBorders>
              <w:top w:val="single" w:sz="4" w:space="0" w:color="auto"/>
            </w:tcBorders>
          </w:tcPr>
          <w:p w14:paraId="6CCD2C2A" w14:textId="77777777" w:rsidR="001E0C96" w:rsidRPr="00A24707" w:rsidRDefault="001E0C96" w:rsidP="001E0C96">
            <w:pPr>
              <w:tabs>
                <w:tab w:val="left" w:pos="-720"/>
              </w:tabs>
              <w:suppressAutoHyphens/>
              <w:jc w:val="both"/>
              <w:rPr>
                <w:rFonts w:ascii="Arial" w:hAnsi="Arial" w:cs="Arial"/>
                <w:b/>
                <w:spacing w:val="-3"/>
                <w:sz w:val="20"/>
                <w:szCs w:val="20"/>
                <w:lang w:val="en-GB"/>
              </w:rPr>
            </w:pPr>
            <w:r w:rsidRPr="00A24707">
              <w:rPr>
                <w:rFonts w:ascii="Arial" w:hAnsi="Arial" w:cs="Arial"/>
                <w:b/>
                <w:spacing w:val="-3"/>
                <w:sz w:val="20"/>
                <w:szCs w:val="20"/>
                <w:lang w:val="en-GB"/>
              </w:rPr>
              <w:t>Total changes</w:t>
            </w:r>
          </w:p>
        </w:tc>
        <w:tc>
          <w:tcPr>
            <w:tcW w:w="2684" w:type="dxa"/>
            <w:tcBorders>
              <w:top w:val="single" w:sz="4" w:space="0" w:color="auto"/>
            </w:tcBorders>
          </w:tcPr>
          <w:p w14:paraId="1624491D" w14:textId="60AEE4AB" w:rsidR="001E0C96" w:rsidRPr="00A24707" w:rsidRDefault="002C5776" w:rsidP="001E0C96">
            <w:pPr>
              <w:tabs>
                <w:tab w:val="left" w:pos="-720"/>
              </w:tabs>
              <w:suppressAutoHyphens/>
              <w:jc w:val="right"/>
              <w:rPr>
                <w:rFonts w:ascii="Arial" w:hAnsi="Arial" w:cs="Arial"/>
                <w:b/>
                <w:spacing w:val="-3"/>
                <w:sz w:val="20"/>
                <w:szCs w:val="20"/>
                <w:lang w:val="en-GB"/>
              </w:rPr>
            </w:pPr>
            <w:r>
              <w:rPr>
                <w:rFonts w:ascii="Arial" w:hAnsi="Arial" w:cs="Arial"/>
                <w:b/>
                <w:spacing w:val="-3"/>
                <w:sz w:val="20"/>
                <w:szCs w:val="20"/>
              </w:rPr>
              <w:t>(</w:t>
            </w:r>
            <w:r w:rsidR="00D918F2">
              <w:rPr>
                <w:rFonts w:ascii="Arial" w:hAnsi="Arial" w:cs="Arial"/>
                <w:b/>
                <w:spacing w:val="-3"/>
                <w:sz w:val="20"/>
                <w:szCs w:val="20"/>
              </w:rPr>
              <w:t>10</w:t>
            </w:r>
            <w:r>
              <w:rPr>
                <w:rFonts w:ascii="Arial" w:hAnsi="Arial" w:cs="Arial"/>
                <w:b/>
                <w:spacing w:val="-3"/>
                <w:sz w:val="20"/>
                <w:szCs w:val="20"/>
              </w:rPr>
              <w:t>.</w:t>
            </w:r>
            <w:r w:rsidR="00D918F2">
              <w:rPr>
                <w:rFonts w:ascii="Arial" w:hAnsi="Arial" w:cs="Arial"/>
                <w:b/>
                <w:spacing w:val="-3"/>
                <w:sz w:val="20"/>
                <w:szCs w:val="20"/>
              </w:rPr>
              <w:t>9</w:t>
            </w:r>
            <w:r>
              <w:rPr>
                <w:rFonts w:ascii="Arial" w:hAnsi="Arial" w:cs="Arial"/>
                <w:b/>
                <w:spacing w:val="-3"/>
                <w:sz w:val="20"/>
                <w:szCs w:val="20"/>
              </w:rPr>
              <w:t>)</w:t>
            </w:r>
          </w:p>
        </w:tc>
      </w:tr>
      <w:tr w:rsidR="001E0C96" w:rsidRPr="00A24707" w14:paraId="1B91F25B" w14:textId="77777777" w:rsidTr="00431335">
        <w:tc>
          <w:tcPr>
            <w:tcW w:w="6379" w:type="dxa"/>
            <w:tcBorders>
              <w:top w:val="single" w:sz="4" w:space="0" w:color="auto"/>
            </w:tcBorders>
          </w:tcPr>
          <w:p w14:paraId="1A2CBFFD" w14:textId="77777777" w:rsidR="001E0C96" w:rsidRPr="00A24707" w:rsidRDefault="001E0C96" w:rsidP="001E0C96">
            <w:pPr>
              <w:tabs>
                <w:tab w:val="left" w:pos="-720"/>
              </w:tabs>
              <w:suppressAutoHyphens/>
              <w:jc w:val="both"/>
              <w:rPr>
                <w:rFonts w:ascii="Arial" w:hAnsi="Arial" w:cs="Arial"/>
                <w:b/>
                <w:spacing w:val="-3"/>
                <w:sz w:val="20"/>
                <w:szCs w:val="20"/>
                <w:lang w:val="en-GB"/>
              </w:rPr>
            </w:pPr>
          </w:p>
        </w:tc>
        <w:tc>
          <w:tcPr>
            <w:tcW w:w="2684" w:type="dxa"/>
            <w:tcBorders>
              <w:top w:val="single" w:sz="4" w:space="0" w:color="auto"/>
            </w:tcBorders>
          </w:tcPr>
          <w:p w14:paraId="41CE1F42" w14:textId="77777777" w:rsidR="001E0C96" w:rsidRPr="00A24707" w:rsidRDefault="001E0C96" w:rsidP="001E0C96">
            <w:pPr>
              <w:tabs>
                <w:tab w:val="left" w:pos="-720"/>
              </w:tabs>
              <w:suppressAutoHyphens/>
              <w:jc w:val="right"/>
              <w:rPr>
                <w:rFonts w:ascii="Arial" w:hAnsi="Arial" w:cs="Arial"/>
                <w:b/>
                <w:spacing w:val="-3"/>
                <w:sz w:val="20"/>
                <w:szCs w:val="20"/>
                <w:lang w:val="en-GB"/>
              </w:rPr>
            </w:pPr>
          </w:p>
        </w:tc>
      </w:tr>
      <w:tr w:rsidR="001E0C96" w:rsidRPr="00A24707" w14:paraId="53EAA913" w14:textId="77777777" w:rsidTr="00431335">
        <w:tc>
          <w:tcPr>
            <w:tcW w:w="9063" w:type="dxa"/>
            <w:gridSpan w:val="2"/>
          </w:tcPr>
          <w:p w14:paraId="490B5C8F" w14:textId="3FC70DDE" w:rsidR="001E0C96" w:rsidRPr="00A24707" w:rsidRDefault="001E0C96" w:rsidP="001E0C96">
            <w:pPr>
              <w:tabs>
                <w:tab w:val="left" w:pos="-720"/>
              </w:tabs>
              <w:suppressAutoHyphens/>
              <w:jc w:val="both"/>
              <w:rPr>
                <w:rFonts w:ascii="Arial" w:hAnsi="Arial" w:cs="Arial"/>
                <w:i/>
                <w:spacing w:val="-3"/>
                <w:sz w:val="20"/>
                <w:szCs w:val="20"/>
                <w:lang w:val="en-GB"/>
              </w:rPr>
            </w:pPr>
            <w:r w:rsidRPr="00A24707">
              <w:rPr>
                <w:rFonts w:ascii="Arial" w:hAnsi="Arial" w:cs="Arial"/>
                <w:i/>
                <w:spacing w:val="-3"/>
                <w:sz w:val="20"/>
                <w:szCs w:val="20"/>
                <w:lang w:val="en-GB"/>
              </w:rPr>
              <w:t xml:space="preserve">* Other calculations relate to </w:t>
            </w:r>
            <w:r w:rsidR="004475A0" w:rsidRPr="00A24707">
              <w:rPr>
                <w:rFonts w:ascii="Arial" w:hAnsi="Arial" w:cs="Arial"/>
                <w:i/>
                <w:spacing w:val="-3"/>
                <w:sz w:val="20"/>
                <w:szCs w:val="20"/>
                <w:lang w:val="en-GB"/>
              </w:rPr>
              <w:t>changes</w:t>
            </w:r>
            <w:r w:rsidRPr="00A24707">
              <w:rPr>
                <w:rFonts w:ascii="Arial" w:hAnsi="Arial" w:cs="Arial"/>
                <w:i/>
                <w:spacing w:val="-3"/>
                <w:sz w:val="20"/>
                <w:szCs w:val="20"/>
                <w:lang w:val="en-GB"/>
              </w:rPr>
              <w:t xml:space="preserve"> in amount of interest not due and deferred fees.</w:t>
            </w:r>
          </w:p>
        </w:tc>
      </w:tr>
    </w:tbl>
    <w:p w14:paraId="45A2C89B" w14:textId="77777777" w:rsidR="00751141" w:rsidRPr="00A24707" w:rsidRDefault="00751141" w:rsidP="00751141">
      <w:pPr>
        <w:spacing w:after="0" w:line="240" w:lineRule="auto"/>
        <w:jc w:val="both"/>
        <w:rPr>
          <w:rFonts w:ascii="Arial" w:hAnsi="Arial" w:cs="Arial"/>
          <w:spacing w:val="-3"/>
          <w:sz w:val="20"/>
          <w:szCs w:val="20"/>
          <w:lang w:val="en-GB"/>
        </w:rPr>
      </w:pPr>
    </w:p>
    <w:p w14:paraId="5EE4887B" w14:textId="77777777" w:rsidR="002D0CE5" w:rsidRPr="00A24707" w:rsidRDefault="002D0CE5" w:rsidP="002D0CE5">
      <w:pPr>
        <w:tabs>
          <w:tab w:val="left" w:pos="709"/>
        </w:tabs>
        <w:spacing w:after="0" w:line="240" w:lineRule="auto"/>
        <w:jc w:val="both"/>
        <w:rPr>
          <w:rFonts w:ascii="Arial" w:eastAsia="Times New Roman" w:hAnsi="Arial" w:cs="Arial"/>
          <w:b/>
          <w:spacing w:val="-3"/>
          <w:sz w:val="20"/>
          <w:szCs w:val="20"/>
          <w:lang w:val="en-US"/>
        </w:rPr>
      </w:pPr>
    </w:p>
    <w:p w14:paraId="3E1244F7" w14:textId="77777777" w:rsidR="00505249" w:rsidRPr="00F96D1D" w:rsidRDefault="00505249" w:rsidP="00505249">
      <w:pPr>
        <w:tabs>
          <w:tab w:val="left" w:pos="-720"/>
        </w:tabs>
        <w:suppressAutoHyphens/>
        <w:spacing w:after="0" w:line="240" w:lineRule="auto"/>
        <w:jc w:val="both"/>
        <w:rPr>
          <w:rFonts w:ascii="Arial" w:hAnsi="Arial" w:cs="Arial"/>
          <w:sz w:val="20"/>
          <w:szCs w:val="20"/>
          <w:lang w:val="en-GB"/>
        </w:rPr>
      </w:pPr>
      <w:r w:rsidRPr="00F96D1D">
        <w:rPr>
          <w:rFonts w:ascii="Arial" w:hAnsi="Arial" w:cs="Arial"/>
          <w:spacing w:val="-3"/>
          <w:sz w:val="20"/>
          <w:szCs w:val="20"/>
          <w:lang w:val="en-GB"/>
        </w:rPr>
        <w:t xml:space="preserve">During 2025, HBOR continued to raise funds, and in the second quarter of 2025, it signed a loan agreement with the Council of Europe Development Bank (CEB) for financing micro, small and medium-sized enterprises, urban, </w:t>
      </w:r>
      <w:proofErr w:type="gramStart"/>
      <w:r w:rsidRPr="00F96D1D">
        <w:rPr>
          <w:rFonts w:ascii="Arial" w:hAnsi="Arial" w:cs="Arial"/>
          <w:spacing w:val="-3"/>
          <w:sz w:val="20"/>
          <w:szCs w:val="20"/>
          <w:lang w:val="en-GB"/>
        </w:rPr>
        <w:t>rural</w:t>
      </w:r>
      <w:proofErr w:type="gramEnd"/>
      <w:r w:rsidRPr="00F96D1D">
        <w:rPr>
          <w:rFonts w:ascii="Arial" w:hAnsi="Arial" w:cs="Arial"/>
          <w:spacing w:val="-3"/>
          <w:sz w:val="20"/>
          <w:szCs w:val="20"/>
          <w:lang w:val="en-GB"/>
        </w:rPr>
        <w:t xml:space="preserve"> and regional development, </w:t>
      </w:r>
      <w:r>
        <w:rPr>
          <w:rFonts w:ascii="Arial" w:hAnsi="Arial" w:cs="Arial"/>
          <w:spacing w:val="-3"/>
          <w:sz w:val="20"/>
          <w:szCs w:val="20"/>
          <w:lang w:val="en-GB"/>
        </w:rPr>
        <w:t>as well as</w:t>
      </w:r>
      <w:r w:rsidRPr="00F96D1D">
        <w:rPr>
          <w:rFonts w:ascii="Arial" w:hAnsi="Arial" w:cs="Arial"/>
          <w:spacing w:val="-3"/>
          <w:sz w:val="20"/>
          <w:szCs w:val="20"/>
          <w:lang w:val="en-GB"/>
        </w:rPr>
        <w:t xml:space="preserve"> social and affordable housing projects in the Republic of Croatia in the amount of EUR 250 million.</w:t>
      </w:r>
    </w:p>
    <w:p w14:paraId="10F158D2" w14:textId="77777777" w:rsidR="007E66D4" w:rsidRPr="007E66D4" w:rsidRDefault="007E66D4" w:rsidP="007E66D4">
      <w:pPr>
        <w:spacing w:after="0" w:line="240" w:lineRule="auto"/>
        <w:jc w:val="both"/>
        <w:rPr>
          <w:rFonts w:ascii="Arial" w:hAnsi="Arial" w:cs="Arial"/>
          <w:sz w:val="20"/>
          <w:szCs w:val="20"/>
          <w:highlight w:val="yellow"/>
        </w:rPr>
      </w:pPr>
    </w:p>
    <w:p w14:paraId="7E97CD54" w14:textId="77777777" w:rsidR="00505249" w:rsidRPr="00B9501D" w:rsidRDefault="00505249" w:rsidP="00505249">
      <w:pPr>
        <w:jc w:val="both"/>
        <w:rPr>
          <w:rFonts w:ascii="Arial" w:hAnsi="Arial" w:cs="Arial"/>
          <w:sz w:val="20"/>
          <w:szCs w:val="20"/>
          <w:lang w:val="en-GB"/>
        </w:rPr>
      </w:pPr>
      <w:r w:rsidRPr="00B9501D">
        <w:rPr>
          <w:rFonts w:ascii="Arial" w:hAnsi="Arial" w:cs="Arial"/>
          <w:sz w:val="20"/>
          <w:szCs w:val="20"/>
          <w:lang w:val="en-GB"/>
        </w:rPr>
        <w:t xml:space="preserve">After the reporting period, at the beginning of the third quarter, HBOR signed a Finance Contract in the amount of EUR 150 million with the European Investment Bank (EIB) for financing Mid-Caps, the public </w:t>
      </w:r>
      <w:proofErr w:type="gramStart"/>
      <w:r w:rsidRPr="00B9501D">
        <w:rPr>
          <w:rFonts w:ascii="Arial" w:hAnsi="Arial" w:cs="Arial"/>
          <w:sz w:val="20"/>
          <w:szCs w:val="20"/>
          <w:lang w:val="en-GB"/>
        </w:rPr>
        <w:t>sector</w:t>
      </w:r>
      <w:proofErr w:type="gramEnd"/>
      <w:r w:rsidRPr="00B9501D">
        <w:rPr>
          <w:rFonts w:ascii="Arial" w:hAnsi="Arial" w:cs="Arial"/>
          <w:sz w:val="20"/>
          <w:szCs w:val="20"/>
          <w:lang w:val="en-GB"/>
        </w:rPr>
        <w:t xml:space="preserve"> and large private companies. Special emphasis of this loan will be put on promoting green investments</w:t>
      </w:r>
      <w:r>
        <w:rPr>
          <w:rFonts w:ascii="Arial" w:hAnsi="Arial" w:cs="Arial"/>
          <w:sz w:val="20"/>
          <w:szCs w:val="20"/>
          <w:lang w:val="en-GB"/>
        </w:rPr>
        <w:t>, and it is</w:t>
      </w:r>
      <w:r w:rsidRPr="00B9501D">
        <w:rPr>
          <w:rFonts w:ascii="Arial" w:hAnsi="Arial" w:cs="Arial"/>
          <w:sz w:val="20"/>
          <w:szCs w:val="20"/>
          <w:lang w:val="en-GB"/>
        </w:rPr>
        <w:t xml:space="preserve"> </w:t>
      </w:r>
      <w:r>
        <w:rPr>
          <w:rFonts w:ascii="Arial" w:hAnsi="Arial" w:cs="Arial"/>
          <w:sz w:val="20"/>
          <w:szCs w:val="20"/>
          <w:lang w:val="en-GB"/>
        </w:rPr>
        <w:t>the</w:t>
      </w:r>
      <w:r w:rsidRPr="00B9501D">
        <w:rPr>
          <w:rFonts w:ascii="Arial" w:hAnsi="Arial" w:cs="Arial"/>
          <w:sz w:val="20"/>
          <w:szCs w:val="20"/>
          <w:lang w:val="en-GB"/>
        </w:rPr>
        <w:t xml:space="preserve"> first tranche of a new financing accord between the two institutions</w:t>
      </w:r>
      <w:r>
        <w:rPr>
          <w:rFonts w:ascii="Arial" w:hAnsi="Arial" w:cs="Arial"/>
          <w:sz w:val="20"/>
          <w:szCs w:val="20"/>
          <w:lang w:val="en-GB"/>
        </w:rPr>
        <w:t>, with a total value of EUR 350 million</w:t>
      </w:r>
      <w:r w:rsidRPr="00B9501D">
        <w:rPr>
          <w:rFonts w:ascii="Arial" w:hAnsi="Arial" w:cs="Arial"/>
          <w:sz w:val="20"/>
          <w:szCs w:val="20"/>
          <w:lang w:val="en-GB"/>
        </w:rPr>
        <w:t>.</w:t>
      </w:r>
    </w:p>
    <w:p w14:paraId="25A599A8" w14:textId="77777777" w:rsidR="007E66D4" w:rsidRDefault="007E66D4" w:rsidP="001E1110">
      <w:pPr>
        <w:tabs>
          <w:tab w:val="left" w:pos="-720"/>
        </w:tabs>
        <w:suppressAutoHyphens/>
        <w:spacing w:after="0" w:line="240" w:lineRule="auto"/>
        <w:jc w:val="both"/>
        <w:rPr>
          <w:rFonts w:ascii="Arial" w:hAnsi="Arial" w:cs="Arial"/>
          <w:b/>
          <w:i/>
          <w:spacing w:val="-3"/>
          <w:sz w:val="20"/>
          <w:szCs w:val="20"/>
          <w:lang w:val="en-GB" w:eastAsia="hr-HR"/>
        </w:rPr>
      </w:pPr>
    </w:p>
    <w:p w14:paraId="0B78A9EB" w14:textId="64261FFA" w:rsidR="00F979E3" w:rsidRPr="00A24707" w:rsidRDefault="00F979E3" w:rsidP="001E1110">
      <w:pPr>
        <w:tabs>
          <w:tab w:val="left" w:pos="-720"/>
        </w:tabs>
        <w:suppressAutoHyphens/>
        <w:spacing w:after="0" w:line="240" w:lineRule="auto"/>
        <w:jc w:val="both"/>
        <w:rPr>
          <w:rFonts w:ascii="Arial" w:hAnsi="Arial" w:cs="Arial"/>
          <w:b/>
          <w:i/>
          <w:spacing w:val="-3"/>
          <w:sz w:val="20"/>
          <w:szCs w:val="20"/>
          <w:lang w:val="en-GB" w:eastAsia="hr-HR"/>
        </w:rPr>
      </w:pPr>
      <w:r w:rsidRPr="00A24707">
        <w:rPr>
          <w:rFonts w:ascii="Arial" w:hAnsi="Arial" w:cs="Arial"/>
          <w:b/>
          <w:i/>
          <w:spacing w:val="-3"/>
          <w:sz w:val="20"/>
          <w:szCs w:val="20"/>
          <w:lang w:val="en-GB" w:eastAsia="hr-HR"/>
        </w:rPr>
        <w:t xml:space="preserve">Total equity </w:t>
      </w:r>
    </w:p>
    <w:p w14:paraId="7B12F1D6" w14:textId="77777777" w:rsidR="001E1110" w:rsidRPr="00A24707" w:rsidRDefault="001E1110" w:rsidP="001E1110">
      <w:pPr>
        <w:tabs>
          <w:tab w:val="left" w:pos="-720"/>
        </w:tabs>
        <w:suppressAutoHyphens/>
        <w:spacing w:after="0" w:line="240" w:lineRule="auto"/>
        <w:jc w:val="both"/>
        <w:rPr>
          <w:rFonts w:ascii="Arial" w:hAnsi="Arial" w:cs="Arial"/>
          <w:b/>
          <w:i/>
          <w:spacing w:val="-3"/>
          <w:sz w:val="20"/>
          <w:szCs w:val="20"/>
          <w:lang w:val="en-GB" w:eastAsia="hr-HR"/>
        </w:rPr>
      </w:pPr>
    </w:p>
    <w:p w14:paraId="55923AFA" w14:textId="34145D84" w:rsidR="00104E82" w:rsidRPr="00550107" w:rsidRDefault="00104E82" w:rsidP="00104E82">
      <w:pPr>
        <w:spacing w:after="0" w:line="240" w:lineRule="auto"/>
        <w:jc w:val="both"/>
        <w:rPr>
          <w:rFonts w:ascii="Arial" w:hAnsi="Arial" w:cs="Arial"/>
          <w:spacing w:val="-3"/>
          <w:sz w:val="20"/>
          <w:szCs w:val="20"/>
          <w:lang w:val="en-GB" w:eastAsia="hr-HR"/>
        </w:rPr>
      </w:pPr>
      <w:r>
        <w:rPr>
          <w:rFonts w:ascii="Arial" w:hAnsi="Arial" w:cs="Arial"/>
          <w:spacing w:val="-3"/>
          <w:sz w:val="20"/>
          <w:szCs w:val="20"/>
          <w:lang w:val="en-GB" w:eastAsia="hr-HR"/>
        </w:rPr>
        <w:t xml:space="preserve">Out of </w:t>
      </w:r>
      <w:r w:rsidRPr="00550107">
        <w:rPr>
          <w:rFonts w:ascii="Arial" w:hAnsi="Arial" w:cs="Arial"/>
          <w:spacing w:val="-3"/>
          <w:sz w:val="20"/>
          <w:szCs w:val="20"/>
          <w:lang w:val="en-GB" w:eastAsia="hr-HR"/>
        </w:rPr>
        <w:t>the total amount of total liabilities</w:t>
      </w:r>
      <w:r>
        <w:rPr>
          <w:rFonts w:ascii="Arial" w:hAnsi="Arial" w:cs="Arial"/>
          <w:spacing w:val="-3"/>
          <w:sz w:val="20"/>
          <w:szCs w:val="20"/>
          <w:lang w:val="en-GB" w:eastAsia="hr-HR"/>
        </w:rPr>
        <w:t xml:space="preserve"> and total</w:t>
      </w:r>
      <w:r w:rsidRPr="00550107">
        <w:rPr>
          <w:rFonts w:ascii="Arial" w:hAnsi="Arial" w:cs="Arial"/>
          <w:spacing w:val="-3"/>
          <w:sz w:val="20"/>
          <w:szCs w:val="20"/>
          <w:lang w:val="en-GB" w:eastAsia="hr-HR"/>
        </w:rPr>
        <w:t xml:space="preserve"> equity, EUR 1,</w:t>
      </w:r>
      <w:r w:rsidR="009F3C38">
        <w:rPr>
          <w:rFonts w:ascii="Arial" w:hAnsi="Arial" w:cs="Arial"/>
          <w:spacing w:val="-3"/>
          <w:sz w:val="20"/>
          <w:szCs w:val="20"/>
          <w:lang w:val="en-GB" w:eastAsia="hr-HR"/>
        </w:rPr>
        <w:t>559</w:t>
      </w:r>
      <w:r w:rsidR="00356724">
        <w:rPr>
          <w:rFonts w:ascii="Arial" w:hAnsi="Arial" w:cs="Arial"/>
          <w:spacing w:val="-3"/>
          <w:sz w:val="20"/>
          <w:szCs w:val="20"/>
          <w:lang w:val="en-GB" w:eastAsia="hr-HR"/>
        </w:rPr>
        <w:t>.</w:t>
      </w:r>
      <w:r w:rsidR="009F3C38">
        <w:rPr>
          <w:rFonts w:ascii="Arial" w:hAnsi="Arial" w:cs="Arial"/>
          <w:spacing w:val="-3"/>
          <w:sz w:val="20"/>
          <w:szCs w:val="20"/>
          <w:lang w:val="en-GB" w:eastAsia="hr-HR"/>
        </w:rPr>
        <w:t>6</w:t>
      </w:r>
      <w:r w:rsidRPr="00550107">
        <w:rPr>
          <w:rFonts w:ascii="Arial" w:hAnsi="Arial" w:cs="Arial"/>
          <w:spacing w:val="-3"/>
          <w:sz w:val="20"/>
          <w:szCs w:val="20"/>
          <w:lang w:val="en-GB" w:eastAsia="hr-HR"/>
        </w:rPr>
        <w:t xml:space="preserve"> million or 3</w:t>
      </w:r>
      <w:r w:rsidR="009F3C38">
        <w:rPr>
          <w:rFonts w:ascii="Arial" w:hAnsi="Arial" w:cs="Arial"/>
          <w:spacing w:val="-3"/>
          <w:sz w:val="20"/>
          <w:szCs w:val="20"/>
          <w:lang w:val="en-GB" w:eastAsia="hr-HR"/>
        </w:rPr>
        <w:t>9</w:t>
      </w:r>
      <w:r w:rsidRPr="00550107">
        <w:rPr>
          <w:rFonts w:ascii="Arial" w:hAnsi="Arial" w:cs="Arial"/>
          <w:spacing w:val="-3"/>
          <w:sz w:val="20"/>
          <w:szCs w:val="20"/>
          <w:lang w:val="en-GB" w:eastAsia="hr-HR"/>
        </w:rPr>
        <w:t>.</w:t>
      </w:r>
      <w:r w:rsidR="009F3C38">
        <w:rPr>
          <w:rFonts w:ascii="Arial" w:hAnsi="Arial" w:cs="Arial"/>
          <w:spacing w:val="-3"/>
          <w:sz w:val="20"/>
          <w:szCs w:val="20"/>
          <w:lang w:val="en-GB" w:eastAsia="hr-HR"/>
        </w:rPr>
        <w:t>2</w:t>
      </w:r>
      <w:r w:rsidRPr="00550107">
        <w:rPr>
          <w:rFonts w:ascii="Arial" w:hAnsi="Arial" w:cs="Arial"/>
          <w:spacing w:val="-3"/>
          <w:sz w:val="20"/>
          <w:szCs w:val="20"/>
          <w:lang w:val="en-GB" w:eastAsia="hr-HR"/>
        </w:rPr>
        <w:t xml:space="preserve"> percent relate to total </w:t>
      </w:r>
      <w:r>
        <w:rPr>
          <w:rFonts w:ascii="Arial" w:hAnsi="Arial" w:cs="Arial"/>
          <w:spacing w:val="-3"/>
          <w:sz w:val="20"/>
          <w:szCs w:val="20"/>
          <w:lang w:val="en-GB" w:eastAsia="hr-HR"/>
        </w:rPr>
        <w:t>equity</w:t>
      </w:r>
      <w:r w:rsidRPr="00550107">
        <w:rPr>
          <w:rFonts w:ascii="Arial" w:hAnsi="Arial" w:cs="Arial"/>
          <w:spacing w:val="-3"/>
          <w:sz w:val="20"/>
          <w:szCs w:val="20"/>
          <w:lang w:val="en-GB" w:eastAsia="hr-HR"/>
        </w:rPr>
        <w:t>.</w:t>
      </w:r>
    </w:p>
    <w:p w14:paraId="65ED7F21" w14:textId="77777777" w:rsidR="00104E82" w:rsidRPr="00EE2578" w:rsidRDefault="00104E82" w:rsidP="00104E82">
      <w:pPr>
        <w:tabs>
          <w:tab w:val="left" w:pos="-720"/>
        </w:tabs>
        <w:suppressAutoHyphens/>
        <w:spacing w:after="0" w:line="240" w:lineRule="auto"/>
        <w:jc w:val="both"/>
        <w:rPr>
          <w:rFonts w:ascii="Arial" w:hAnsi="Arial" w:cs="Arial"/>
          <w:spacing w:val="-3"/>
          <w:sz w:val="20"/>
          <w:szCs w:val="20"/>
          <w:lang w:val="en-GB"/>
        </w:rPr>
      </w:pPr>
    </w:p>
    <w:p w14:paraId="63330DEC" w14:textId="77777777" w:rsidR="00104E82" w:rsidRPr="00EE2578" w:rsidRDefault="00104E82" w:rsidP="00104E82">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 xml:space="preserve">Total equity of HBOR is comprised of the capital and the guarantee fund. HBOR’s capital is comprised of founder’s capital contributed from the budget of the Republic of Croatia, retained earnings from the profits generated in the previous years, other </w:t>
      </w:r>
      <w:proofErr w:type="gramStart"/>
      <w:r w:rsidRPr="00EE2578">
        <w:rPr>
          <w:rFonts w:ascii="Arial" w:hAnsi="Arial" w:cs="Arial"/>
          <w:spacing w:val="-3"/>
          <w:sz w:val="20"/>
          <w:szCs w:val="20"/>
          <w:lang w:val="en-GB"/>
        </w:rPr>
        <w:t>reserves</w:t>
      </w:r>
      <w:proofErr w:type="gramEnd"/>
      <w:r w:rsidRPr="00EE2578">
        <w:rPr>
          <w:rFonts w:ascii="Arial" w:hAnsi="Arial" w:cs="Arial"/>
          <w:spacing w:val="-3"/>
          <w:sz w:val="20"/>
          <w:szCs w:val="20"/>
          <w:lang w:val="en-GB"/>
        </w:rPr>
        <w:t xml:space="preserve"> and profits for the current period. </w:t>
      </w:r>
    </w:p>
    <w:p w14:paraId="38A9F705" w14:textId="77777777" w:rsidR="00104E82" w:rsidRPr="00EE2578" w:rsidRDefault="00104E82" w:rsidP="00104E82">
      <w:pPr>
        <w:tabs>
          <w:tab w:val="left" w:pos="-720"/>
        </w:tabs>
        <w:suppressAutoHyphens/>
        <w:spacing w:after="0" w:line="240" w:lineRule="auto"/>
        <w:jc w:val="both"/>
        <w:rPr>
          <w:rFonts w:ascii="Arial" w:hAnsi="Arial" w:cs="Arial"/>
          <w:spacing w:val="-3"/>
          <w:sz w:val="20"/>
          <w:szCs w:val="20"/>
          <w:lang w:val="en-GB"/>
        </w:rPr>
      </w:pPr>
    </w:p>
    <w:p w14:paraId="3F1319A1" w14:textId="195E3A73" w:rsidR="00167614" w:rsidRDefault="00104E82" w:rsidP="00104E82">
      <w:pPr>
        <w:tabs>
          <w:tab w:val="left" w:pos="-720"/>
        </w:tabs>
        <w:spacing w:after="0" w:line="240" w:lineRule="auto"/>
        <w:jc w:val="both"/>
        <w:rPr>
          <w:rFonts w:ascii="Arial" w:hAnsi="Arial" w:cs="Arial"/>
          <w:spacing w:val="-3"/>
          <w:sz w:val="20"/>
          <w:szCs w:val="20"/>
          <w:lang w:val="en-GB"/>
        </w:rPr>
        <w:sectPr w:rsidR="00167614" w:rsidSect="007B5D75">
          <w:footerReference w:type="default" r:id="rId43"/>
          <w:pgSz w:w="11906" w:h="16838"/>
          <w:pgMar w:top="1417" w:right="1417" w:bottom="1417" w:left="1276" w:header="708" w:footer="708" w:gutter="0"/>
          <w:cols w:space="708"/>
          <w:docGrid w:linePitch="360"/>
        </w:sectPr>
      </w:pPr>
      <w:r w:rsidRPr="00EE2578">
        <w:rPr>
          <w:rFonts w:ascii="Arial" w:hAnsi="Arial" w:cs="Arial"/>
          <w:spacing w:val="-3"/>
          <w:sz w:val="20"/>
          <w:szCs w:val="20"/>
          <w:lang w:val="en-GB"/>
        </w:rPr>
        <w:t xml:space="preserve">The total amount of capital contributed from the budget of the Republic of Croatia stood at </w:t>
      </w:r>
      <w:r>
        <w:rPr>
          <w:rFonts w:ascii="Arial" w:hAnsi="Arial" w:cs="Arial"/>
          <w:spacing w:val="-3"/>
          <w:sz w:val="20"/>
          <w:szCs w:val="20"/>
          <w:lang w:val="en-GB"/>
        </w:rPr>
        <w:t xml:space="preserve">EUR </w:t>
      </w:r>
      <w:r w:rsidR="00356724">
        <w:rPr>
          <w:rFonts w:ascii="Arial" w:hAnsi="Arial" w:cs="Arial"/>
          <w:spacing w:val="-3"/>
          <w:sz w:val="20"/>
          <w:szCs w:val="20"/>
          <w:lang w:val="en-GB"/>
        </w:rPr>
        <w:t>90</w:t>
      </w:r>
      <w:r w:rsidR="00641265">
        <w:rPr>
          <w:rFonts w:ascii="Arial" w:hAnsi="Arial" w:cs="Arial"/>
          <w:spacing w:val="-3"/>
          <w:sz w:val="20"/>
          <w:szCs w:val="20"/>
          <w:lang w:val="en-GB"/>
        </w:rPr>
        <w:t>5</w:t>
      </w:r>
      <w:r w:rsidR="00356724">
        <w:rPr>
          <w:rFonts w:ascii="Arial" w:hAnsi="Arial" w:cs="Arial"/>
          <w:spacing w:val="-3"/>
          <w:sz w:val="20"/>
          <w:szCs w:val="20"/>
          <w:lang w:val="en-GB"/>
        </w:rPr>
        <w:t>.3</w:t>
      </w:r>
      <w:r w:rsidRPr="00EE2578">
        <w:rPr>
          <w:rFonts w:ascii="Arial" w:hAnsi="Arial" w:cs="Arial"/>
          <w:spacing w:val="-3"/>
          <w:sz w:val="20"/>
          <w:szCs w:val="20"/>
          <w:lang w:val="en-GB"/>
        </w:rPr>
        <w:t xml:space="preserve"> million, and the remaining amount to be contributed to the founder’s capital up to the total amount of </w:t>
      </w:r>
      <w:r>
        <w:rPr>
          <w:rFonts w:ascii="Arial" w:hAnsi="Arial" w:cs="Arial"/>
          <w:spacing w:val="-3"/>
          <w:sz w:val="20"/>
          <w:szCs w:val="20"/>
          <w:lang w:val="en-GB"/>
        </w:rPr>
        <w:t>EUR</w:t>
      </w:r>
      <w:r w:rsidRPr="00EE2578">
        <w:rPr>
          <w:rFonts w:ascii="Arial" w:hAnsi="Arial" w:cs="Arial"/>
          <w:spacing w:val="-3"/>
          <w:sz w:val="20"/>
          <w:szCs w:val="20"/>
          <w:lang w:val="en-GB"/>
        </w:rPr>
        <w:t xml:space="preserve"> </w:t>
      </w:r>
      <w:r>
        <w:rPr>
          <w:rFonts w:ascii="Arial" w:hAnsi="Arial" w:cs="Arial"/>
          <w:spacing w:val="-3"/>
          <w:sz w:val="20"/>
          <w:szCs w:val="20"/>
          <w:lang w:val="en-GB"/>
        </w:rPr>
        <w:t>929.1</w:t>
      </w:r>
      <w:r w:rsidRPr="00EE2578">
        <w:rPr>
          <w:rFonts w:ascii="Arial" w:hAnsi="Arial" w:cs="Arial"/>
          <w:spacing w:val="-3"/>
          <w:sz w:val="20"/>
          <w:szCs w:val="20"/>
          <w:lang w:val="en-GB"/>
        </w:rPr>
        <w:t xml:space="preserve"> million set by the HBOR Act is </w:t>
      </w:r>
      <w:r>
        <w:rPr>
          <w:rFonts w:ascii="Arial" w:hAnsi="Arial" w:cs="Arial"/>
          <w:spacing w:val="-3"/>
          <w:sz w:val="20"/>
          <w:szCs w:val="20"/>
          <w:lang w:val="en-GB"/>
        </w:rPr>
        <w:t>EUR 2</w:t>
      </w:r>
      <w:r w:rsidR="00641265">
        <w:rPr>
          <w:rFonts w:ascii="Arial" w:hAnsi="Arial" w:cs="Arial"/>
          <w:spacing w:val="-3"/>
          <w:sz w:val="20"/>
          <w:szCs w:val="20"/>
          <w:lang w:val="en-GB"/>
        </w:rPr>
        <w:t>3</w:t>
      </w:r>
      <w:r w:rsidR="005E1DBD">
        <w:rPr>
          <w:rFonts w:ascii="Arial" w:hAnsi="Arial" w:cs="Arial"/>
          <w:spacing w:val="-3"/>
          <w:sz w:val="20"/>
          <w:szCs w:val="20"/>
          <w:lang w:val="en-GB"/>
        </w:rPr>
        <w:t>.</w:t>
      </w:r>
      <w:r w:rsidR="00356724">
        <w:rPr>
          <w:rFonts w:ascii="Arial" w:hAnsi="Arial" w:cs="Arial"/>
          <w:spacing w:val="-3"/>
          <w:sz w:val="20"/>
          <w:szCs w:val="20"/>
          <w:lang w:val="en-GB"/>
        </w:rPr>
        <w:t>8</w:t>
      </w:r>
      <w:r w:rsidRPr="00EE2578">
        <w:rPr>
          <w:rFonts w:ascii="Arial" w:hAnsi="Arial" w:cs="Arial"/>
          <w:spacing w:val="-3"/>
          <w:sz w:val="20"/>
          <w:szCs w:val="20"/>
          <w:lang w:val="en-GB"/>
        </w:rPr>
        <w:t xml:space="preserve"> million.</w:t>
      </w:r>
    </w:p>
    <w:p w14:paraId="6DA42425" w14:textId="6F7B9517" w:rsidR="00E43402" w:rsidRDefault="00E43402" w:rsidP="00E43402">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lastRenderedPageBreak/>
        <w:t xml:space="preserve">     </w:t>
      </w:r>
      <w:r w:rsidR="00B11710">
        <w:rPr>
          <w:rFonts w:cstheme="minorHAnsi"/>
          <w:noProof/>
          <w:sz w:val="24"/>
          <w:szCs w:val="24"/>
          <w:lang w:eastAsia="hr-HR"/>
        </w:rPr>
        <w:drawing>
          <wp:inline distT="0" distB="0" distL="0" distR="0" wp14:anchorId="12423254" wp14:editId="1B3FCFCE">
            <wp:extent cx="2882900" cy="3777204"/>
            <wp:effectExtent l="0" t="0" r="0" b="0"/>
            <wp:docPr id="2075115242"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87528" cy="3783267"/>
                    </a:xfrm>
                    <a:prstGeom prst="rect">
                      <a:avLst/>
                    </a:prstGeom>
                    <a:noFill/>
                  </pic:spPr>
                </pic:pic>
              </a:graphicData>
            </a:graphic>
          </wp:inline>
        </w:drawing>
      </w:r>
      <w:r w:rsidRPr="001607DE">
        <w:rPr>
          <w:rFonts w:cstheme="minorHAnsi"/>
          <w:noProof/>
          <w:sz w:val="24"/>
          <w:szCs w:val="24"/>
          <w:lang w:eastAsia="hr-HR"/>
        </w:rPr>
        <w:t xml:space="preserve">    </w:t>
      </w:r>
      <w:r w:rsidR="00B11710">
        <w:rPr>
          <w:rFonts w:cstheme="minorHAnsi"/>
          <w:noProof/>
          <w:sz w:val="24"/>
          <w:szCs w:val="24"/>
          <w:lang w:eastAsia="hr-HR"/>
        </w:rPr>
        <w:drawing>
          <wp:inline distT="0" distB="0" distL="0" distR="0" wp14:anchorId="452E9D8B" wp14:editId="7B893D1C">
            <wp:extent cx="2962275" cy="3774990"/>
            <wp:effectExtent l="0" t="0" r="0" b="0"/>
            <wp:docPr id="866052680"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72474" cy="3787987"/>
                    </a:xfrm>
                    <a:prstGeom prst="rect">
                      <a:avLst/>
                    </a:prstGeom>
                    <a:noFill/>
                  </pic:spPr>
                </pic:pic>
              </a:graphicData>
            </a:graphic>
          </wp:inline>
        </w:drawing>
      </w:r>
    </w:p>
    <w:p w14:paraId="4D0B918F" w14:textId="77777777" w:rsidR="00E43402" w:rsidRPr="001607DE" w:rsidRDefault="00E43402" w:rsidP="00E43402">
      <w:pPr>
        <w:tabs>
          <w:tab w:val="left" w:pos="-720"/>
        </w:tabs>
        <w:suppressAutoHyphens/>
        <w:spacing w:after="0" w:line="240" w:lineRule="auto"/>
        <w:ind w:left="-426" w:right="-426"/>
        <w:jc w:val="both"/>
        <w:rPr>
          <w:rFonts w:cstheme="minorHAnsi"/>
          <w:noProof/>
          <w:sz w:val="24"/>
          <w:szCs w:val="24"/>
          <w:lang w:eastAsia="hr-HR"/>
        </w:rPr>
      </w:pPr>
    </w:p>
    <w:p w14:paraId="4FDBE700" w14:textId="5E7CD333" w:rsidR="00E43402" w:rsidRPr="00B16CE9" w:rsidRDefault="00B16CE9" w:rsidP="00B16CE9">
      <w:pPr>
        <w:tabs>
          <w:tab w:val="left" w:pos="-720"/>
        </w:tabs>
        <w:suppressAutoHyphens/>
        <w:spacing w:after="0" w:line="240" w:lineRule="auto"/>
        <w:ind w:left="-426" w:right="-426"/>
        <w:jc w:val="both"/>
        <w:rPr>
          <w:rFonts w:cstheme="minorHAnsi"/>
          <w:noProof/>
          <w:sz w:val="24"/>
          <w:szCs w:val="24"/>
          <w:lang w:eastAsia="hr-HR"/>
        </w:rPr>
      </w:pPr>
      <w:r>
        <w:rPr>
          <w:rFonts w:cstheme="minorHAnsi"/>
          <w:noProof/>
          <w:sz w:val="24"/>
          <w:szCs w:val="24"/>
          <w:lang w:eastAsia="hr-HR"/>
        </w:rPr>
        <w:t xml:space="preserve">  </w:t>
      </w:r>
      <w:r w:rsidR="00B11710">
        <w:rPr>
          <w:rFonts w:cstheme="minorHAnsi"/>
          <w:noProof/>
          <w:sz w:val="24"/>
          <w:szCs w:val="24"/>
          <w:lang w:eastAsia="hr-HR"/>
        </w:rPr>
        <w:t xml:space="preserve"> </w:t>
      </w:r>
      <w:r>
        <w:rPr>
          <w:rFonts w:cstheme="minorHAnsi"/>
          <w:noProof/>
          <w:sz w:val="24"/>
          <w:szCs w:val="24"/>
          <w:lang w:eastAsia="hr-HR"/>
        </w:rPr>
        <w:t xml:space="preserve">  </w:t>
      </w:r>
      <w:r w:rsidR="00B11710">
        <w:rPr>
          <w:noProof/>
        </w:rPr>
        <w:drawing>
          <wp:inline distT="0" distB="0" distL="0" distR="0" wp14:anchorId="4B5266D1" wp14:editId="6660A9FC">
            <wp:extent cx="2882900" cy="3541169"/>
            <wp:effectExtent l="0" t="0" r="0" b="2540"/>
            <wp:docPr id="330799730" name="Slika 3" descr="Slika na kojoj se prikazuje tekst, snimka zaslona, Font, krug&#10;&#10;Sadržaj generiran umjetnom inteligencijom može biti netočan.">
              <a:extLst xmlns:a="http://schemas.openxmlformats.org/drawingml/2006/main">
                <a:ext uri="{FF2B5EF4-FFF2-40B4-BE49-F238E27FC236}">
                  <a16:creationId xmlns:a16="http://schemas.microsoft.com/office/drawing/2014/main" id="{36C56BC9-D929-E855-D18D-8CE8BC38DF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99730" name="Slika 3" descr="Slika na kojoj se prikazuje tekst, snimka zaslona, Font, krug&#10;&#10;Sadržaj generiran umjetnom inteligencijom može biti netočan.">
                      <a:extLst>
                        <a:ext uri="{FF2B5EF4-FFF2-40B4-BE49-F238E27FC236}">
                          <a16:creationId xmlns:a16="http://schemas.microsoft.com/office/drawing/2014/main" id="{36C56BC9-D929-E855-D18D-8CE8BC38DFF5}"/>
                        </a:ext>
                      </a:extLst>
                    </pic:cNvPr>
                    <pic:cNvPicPr>
                      <a:picLocks noChangeAspect="1"/>
                    </pic:cNvPicPr>
                  </pic:nvPicPr>
                  <pic:blipFill>
                    <a:blip r:embed="rId46"/>
                    <a:stretch>
                      <a:fillRect/>
                    </a:stretch>
                  </pic:blipFill>
                  <pic:spPr>
                    <a:xfrm>
                      <a:off x="0" y="0"/>
                      <a:ext cx="2884459" cy="3543084"/>
                    </a:xfrm>
                    <a:prstGeom prst="rect">
                      <a:avLst/>
                    </a:prstGeom>
                  </pic:spPr>
                </pic:pic>
              </a:graphicData>
            </a:graphic>
          </wp:inline>
        </w:drawing>
      </w:r>
      <w:r w:rsidRPr="001607DE">
        <w:rPr>
          <w:rFonts w:cstheme="minorHAnsi"/>
          <w:noProof/>
          <w:sz w:val="24"/>
          <w:szCs w:val="24"/>
          <w:lang w:eastAsia="hr-HR"/>
        </w:rPr>
        <w:t xml:space="preserve">   </w:t>
      </w:r>
      <w:r>
        <w:rPr>
          <w:rFonts w:cstheme="minorHAnsi"/>
          <w:noProof/>
          <w:sz w:val="24"/>
          <w:szCs w:val="24"/>
          <w:lang w:eastAsia="hr-HR"/>
        </w:rPr>
        <w:t xml:space="preserve"> </w:t>
      </w:r>
      <w:r w:rsidR="00B11710">
        <w:rPr>
          <w:rFonts w:cstheme="minorHAnsi"/>
          <w:noProof/>
          <w:sz w:val="24"/>
          <w:szCs w:val="24"/>
          <w:lang w:eastAsia="hr-HR"/>
        </w:rPr>
        <w:drawing>
          <wp:inline distT="0" distB="0" distL="0" distR="0" wp14:anchorId="28C4CC75" wp14:editId="01EC3A14">
            <wp:extent cx="2962845" cy="3540906"/>
            <wp:effectExtent l="0" t="0" r="9525" b="2540"/>
            <wp:docPr id="1588176064"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10320" cy="3597644"/>
                    </a:xfrm>
                    <a:prstGeom prst="rect">
                      <a:avLst/>
                    </a:prstGeom>
                    <a:noFill/>
                  </pic:spPr>
                </pic:pic>
              </a:graphicData>
            </a:graphic>
          </wp:inline>
        </w:drawing>
      </w:r>
    </w:p>
    <w:p w14:paraId="4239D2DA" w14:textId="77777777" w:rsidR="00E43402" w:rsidRPr="001607DE" w:rsidRDefault="00E43402" w:rsidP="00E43402">
      <w:pPr>
        <w:tabs>
          <w:tab w:val="left" w:pos="-720"/>
        </w:tabs>
        <w:suppressAutoHyphens/>
        <w:spacing w:after="0" w:line="240" w:lineRule="auto"/>
        <w:ind w:left="-284" w:right="-567"/>
        <w:jc w:val="both"/>
        <w:rPr>
          <w:rFonts w:cstheme="minorHAnsi"/>
          <w:sz w:val="24"/>
          <w:szCs w:val="24"/>
        </w:rPr>
      </w:pPr>
      <w:r w:rsidRPr="001607DE">
        <w:rPr>
          <w:rFonts w:cstheme="minorHAnsi"/>
          <w:sz w:val="24"/>
          <w:szCs w:val="24"/>
        </w:rPr>
        <w:t xml:space="preserve"> </w:t>
      </w:r>
    </w:p>
    <w:p w14:paraId="36BAB508" w14:textId="77777777" w:rsidR="001607DE" w:rsidRPr="00B16CE9" w:rsidRDefault="001607DE" w:rsidP="00F94CEF">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p>
    <w:p w14:paraId="72019D8D" w14:textId="3AEB4931" w:rsidR="009E53C8" w:rsidRDefault="002D5848" w:rsidP="00B305E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r w:rsidRPr="00B16CE9">
        <w:rPr>
          <w:rFonts w:ascii="Arial" w:eastAsia="Times New Roman" w:hAnsi="Arial" w:cs="Arial"/>
          <w:color w:val="7F7F7F" w:themeColor="text1" w:themeTint="80"/>
          <w:spacing w:val="-3"/>
          <w:sz w:val="16"/>
          <w:szCs w:val="16"/>
          <w:lang w:eastAsia="hr-HR"/>
        </w:rPr>
        <w:t>*</w:t>
      </w:r>
      <w:r w:rsidR="007446A8" w:rsidRPr="00B16CE9">
        <w:rPr>
          <w:rFonts w:ascii="Arial" w:eastAsia="Times New Roman" w:hAnsi="Arial" w:cs="Arial"/>
          <w:color w:val="7F7F7F" w:themeColor="text1" w:themeTint="80"/>
          <w:spacing w:val="-3"/>
          <w:sz w:val="16"/>
          <w:szCs w:val="16"/>
          <w:lang w:eastAsia="hr-HR"/>
        </w:rPr>
        <w:t>Investments in subsidiaries</w:t>
      </w:r>
      <w:r w:rsidRPr="00B16CE9">
        <w:rPr>
          <w:rFonts w:ascii="Arial" w:eastAsia="Times New Roman" w:hAnsi="Arial" w:cs="Arial"/>
          <w:color w:val="7F7F7F" w:themeColor="text1" w:themeTint="80"/>
          <w:spacing w:val="-3"/>
          <w:sz w:val="16"/>
          <w:szCs w:val="16"/>
          <w:lang w:eastAsia="hr-HR"/>
        </w:rPr>
        <w:t xml:space="preserve">, </w:t>
      </w:r>
      <w:r w:rsidR="00F979E3" w:rsidRPr="00B16CE9">
        <w:rPr>
          <w:rFonts w:ascii="Arial" w:eastAsia="Times New Roman" w:hAnsi="Arial" w:cs="Arial"/>
          <w:color w:val="7F7F7F" w:themeColor="text1" w:themeTint="80"/>
          <w:spacing w:val="-3"/>
          <w:sz w:val="16"/>
          <w:szCs w:val="16"/>
          <w:lang w:eastAsia="hr-HR"/>
        </w:rPr>
        <w:t xml:space="preserve">Property, plant and equipment and intangible assets, </w:t>
      </w:r>
      <w:r w:rsidR="001607DE" w:rsidRPr="00B16CE9">
        <w:rPr>
          <w:rFonts w:ascii="Arial" w:eastAsia="Times New Roman" w:hAnsi="Arial" w:cs="Arial"/>
          <w:color w:val="7F7F7F" w:themeColor="text1" w:themeTint="80"/>
          <w:spacing w:val="-3"/>
          <w:sz w:val="16"/>
          <w:szCs w:val="16"/>
          <w:lang w:eastAsia="hr-HR"/>
        </w:rPr>
        <w:t>Foreclosed assets</w:t>
      </w:r>
      <w:r w:rsidR="00F979E3" w:rsidRPr="00B16CE9">
        <w:rPr>
          <w:rFonts w:ascii="Arial" w:eastAsia="Times New Roman" w:hAnsi="Arial" w:cs="Arial"/>
          <w:color w:val="7F7F7F" w:themeColor="text1" w:themeTint="80"/>
          <w:spacing w:val="-3"/>
          <w:sz w:val="16"/>
          <w:szCs w:val="16"/>
          <w:lang w:eastAsia="hr-HR"/>
        </w:rPr>
        <w:t xml:space="preserve"> and Other assets</w:t>
      </w:r>
      <w:r w:rsidRPr="00B16CE9">
        <w:rPr>
          <w:rFonts w:ascii="Arial" w:eastAsia="Times New Roman" w:hAnsi="Arial" w:cs="Arial"/>
          <w:color w:val="7F7F7F" w:themeColor="text1" w:themeTint="80"/>
          <w:spacing w:val="-3"/>
          <w:sz w:val="16"/>
          <w:szCs w:val="16"/>
          <w:lang w:eastAsia="hr-HR"/>
        </w:rPr>
        <w:t>.</w:t>
      </w:r>
    </w:p>
    <w:p w14:paraId="792FEEE7" w14:textId="77777777" w:rsidR="00B16CE9" w:rsidRPr="00B16CE9" w:rsidRDefault="00B16CE9" w:rsidP="00B305E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p>
    <w:p w14:paraId="43062794" w14:textId="77777777" w:rsidR="00700998" w:rsidRPr="00B16CE9" w:rsidRDefault="00700998" w:rsidP="00700998">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r w:rsidRPr="00B16CE9">
        <w:rPr>
          <w:rFonts w:ascii="Arial" w:eastAsia="Times New Roman" w:hAnsi="Arial" w:cs="Arial"/>
          <w:color w:val="7F7F7F" w:themeColor="text1" w:themeTint="80"/>
          <w:spacing w:val="-3"/>
          <w:sz w:val="16"/>
          <w:szCs w:val="16"/>
          <w:lang w:eastAsia="hr-HR"/>
        </w:rPr>
        <w:t>**</w:t>
      </w:r>
      <w:r w:rsidR="007446A8" w:rsidRPr="00B16CE9">
        <w:rPr>
          <w:rFonts w:ascii="Arial" w:eastAsia="Times New Roman" w:hAnsi="Arial" w:cs="Arial"/>
          <w:color w:val="7F7F7F" w:themeColor="text1" w:themeTint="80"/>
          <w:spacing w:val="-3"/>
          <w:sz w:val="16"/>
          <w:szCs w:val="16"/>
          <w:lang w:eastAsia="hr-HR"/>
        </w:rPr>
        <w:t xml:space="preserve"> Provisioning includes provisioning for guarantees, commitments and other liabilities</w:t>
      </w:r>
      <w:r w:rsidRPr="00B16CE9">
        <w:rPr>
          <w:rFonts w:ascii="Arial" w:eastAsia="Times New Roman" w:hAnsi="Arial" w:cs="Arial"/>
          <w:color w:val="7F7F7F" w:themeColor="text1" w:themeTint="80"/>
          <w:spacing w:val="-3"/>
          <w:sz w:val="16"/>
          <w:szCs w:val="16"/>
          <w:lang w:eastAsia="hr-HR"/>
        </w:rPr>
        <w:t>.</w:t>
      </w:r>
    </w:p>
    <w:p w14:paraId="6CE07D7B" w14:textId="77777777" w:rsidR="00041197" w:rsidRPr="00B16CE9" w:rsidRDefault="0004119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eastAsia="hr-HR"/>
        </w:rPr>
      </w:pPr>
    </w:p>
    <w:sectPr w:rsidR="00041197" w:rsidRPr="00B16CE9" w:rsidSect="007B5D75">
      <w:footerReference w:type="default" r:id="rId4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20F15" w14:textId="77777777" w:rsidR="00DC6AD0" w:rsidRDefault="00DC6AD0" w:rsidP="00AE35D1">
      <w:pPr>
        <w:spacing w:after="0" w:line="240" w:lineRule="auto"/>
      </w:pPr>
      <w:r>
        <w:separator/>
      </w:r>
    </w:p>
  </w:endnote>
  <w:endnote w:type="continuationSeparator" w:id="0">
    <w:p w14:paraId="5CD94DF8" w14:textId="77777777" w:rsidR="00DC6AD0" w:rsidRDefault="00DC6AD0"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B22D" w14:textId="77777777" w:rsidR="00DC6AD0" w:rsidRPr="00290697" w:rsidRDefault="00DC6AD0">
    <w:pPr>
      <w:pStyle w:val="Footer"/>
      <w:jc w:val="center"/>
      <w:rPr>
        <w:sz w:val="18"/>
        <w:szCs w:val="18"/>
      </w:rPr>
    </w:pPr>
  </w:p>
  <w:p w14:paraId="18F52D96" w14:textId="77777777"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DC6AD0" w:rsidRDefault="00DC6AD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4AA73" w14:textId="29CAF3F3" w:rsidR="00DC6AD0" w:rsidRPr="001A5DE3"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9   Croatian Bank for Reconstruction and Development</w:t>
    </w:r>
  </w:p>
  <w:p w14:paraId="6A4BDC2F" w14:textId="77777777" w:rsidR="00DC6AD0" w:rsidRDefault="00DC6AD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59356" w14:textId="15BB80D8" w:rsidR="00DC6AD0" w:rsidRPr="001A5DE3" w:rsidRDefault="00DC6AD0"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0E3F18" w:rsidRPr="001A5DE3">
      <w:rPr>
        <w:rFonts w:ascii="Arial" w:eastAsia="Times New Roman" w:hAnsi="Arial" w:cs="Arial"/>
        <w:sz w:val="16"/>
        <w:szCs w:val="16"/>
      </w:rPr>
      <w:t>0</w:t>
    </w:r>
    <w:r w:rsidRPr="001A5DE3">
      <w:rPr>
        <w:rFonts w:ascii="Arial" w:eastAsia="Times New Roman" w:hAnsi="Arial" w:cs="Arial"/>
        <w:sz w:val="16"/>
        <w:szCs w:val="16"/>
      </w:rPr>
      <w:t xml:space="preserve">  Croatian Bank for Reconstruction and Development</w:t>
    </w:r>
  </w:p>
  <w:p w14:paraId="0F123C5C" w14:textId="77777777" w:rsidR="00DC6AD0" w:rsidRDefault="00DC6AD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46CE" w14:textId="280A4B62" w:rsidR="00DC6AD0" w:rsidRPr="001A5DE3" w:rsidRDefault="00DC6AD0"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0E3F18" w:rsidRPr="001A5DE3">
      <w:rPr>
        <w:rFonts w:ascii="Arial" w:eastAsia="Times New Roman" w:hAnsi="Arial" w:cs="Arial"/>
        <w:sz w:val="16"/>
        <w:szCs w:val="16"/>
      </w:rPr>
      <w:t>1</w:t>
    </w:r>
    <w:r w:rsidRPr="001A5DE3">
      <w:rPr>
        <w:rFonts w:ascii="Arial" w:eastAsia="Times New Roman" w:hAnsi="Arial" w:cs="Arial"/>
        <w:sz w:val="16"/>
        <w:szCs w:val="16"/>
      </w:rPr>
      <w:t xml:space="preserve">  Croatian Bank for Reconstruction and Development</w:t>
    </w:r>
  </w:p>
  <w:p w14:paraId="21E34399" w14:textId="77777777" w:rsidR="00DC6AD0" w:rsidRDefault="00DC6AD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50467" w14:textId="0F8C933E" w:rsidR="000E3F18" w:rsidRPr="001A5DE3" w:rsidRDefault="000E3F18"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12  Croatian Bank for Reconstruction and Development</w:t>
    </w:r>
  </w:p>
  <w:p w14:paraId="0FE6DE61" w14:textId="77777777" w:rsidR="000E3F18" w:rsidRDefault="000E3F1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4728E" w14:textId="2A7B0FDB" w:rsidR="009869E1" w:rsidRPr="002B7AFF" w:rsidRDefault="009869E1"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9F64C6">
      <w:rPr>
        <w:rFonts w:ascii="Arial" w:eastAsia="Times New Roman" w:hAnsi="Arial" w:cs="Arial"/>
        <w:sz w:val="16"/>
        <w:szCs w:val="16"/>
      </w:rPr>
      <w:t>3</w:t>
    </w:r>
    <w:r w:rsidRPr="002B7AFF">
      <w:rPr>
        <w:rFonts w:ascii="Arial" w:eastAsia="Times New Roman" w:hAnsi="Arial" w:cs="Arial"/>
        <w:sz w:val="16"/>
        <w:szCs w:val="16"/>
      </w:rPr>
      <w:t xml:space="preserve">   Croatian Bank for Reconstruction and Development</w:t>
    </w:r>
  </w:p>
  <w:p w14:paraId="324B65F6" w14:textId="77777777" w:rsidR="009869E1" w:rsidRDefault="009869E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BAC1" w14:textId="791D67FF" w:rsidR="00DC6AD0" w:rsidRPr="001A5DE3"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3539E5" w:rsidRPr="001A5DE3">
      <w:rPr>
        <w:rFonts w:ascii="Arial" w:eastAsia="Times New Roman" w:hAnsi="Arial" w:cs="Arial"/>
        <w:sz w:val="16"/>
        <w:szCs w:val="16"/>
      </w:rPr>
      <w:t>4</w:t>
    </w:r>
    <w:r w:rsidRPr="001A5DE3">
      <w:rPr>
        <w:rFonts w:ascii="Arial" w:eastAsia="Times New Roman" w:hAnsi="Arial" w:cs="Arial"/>
        <w:sz w:val="16"/>
        <w:szCs w:val="16"/>
      </w:rPr>
      <w:t xml:space="preserve">   Croatian Bank for Reconstruction and Development</w:t>
    </w:r>
  </w:p>
  <w:p w14:paraId="17237B3F" w14:textId="77777777" w:rsidR="00DC6AD0" w:rsidRDefault="00DC6AD0" w:rsidP="0065688C">
    <w:pPr>
      <w:pBdr>
        <w:top w:val="single" w:sz="4" w:space="1" w:color="auto"/>
      </w:pBdr>
      <w:tabs>
        <w:tab w:val="center" w:pos="4153"/>
        <w:tab w:val="right" w:pos="9072"/>
      </w:tabs>
      <w:spacing w:after="0" w:line="240" w:lineRule="auto"/>
      <w:ind w:right="283"/>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5783" w14:textId="6AE142E6" w:rsidR="00DC6AD0" w:rsidRPr="001A5DE3"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sidR="003737F8">
      <w:rPr>
        <w:rFonts w:ascii="Arial" w:eastAsia="Times New Roman" w:hAnsi="Arial" w:cs="Arial"/>
        <w:sz w:val="16"/>
        <w:szCs w:val="16"/>
      </w:rPr>
      <w:t>5</w:t>
    </w:r>
    <w:r w:rsidRPr="001A5DE3">
      <w:rPr>
        <w:rFonts w:ascii="Arial" w:eastAsia="Times New Roman" w:hAnsi="Arial" w:cs="Arial"/>
        <w:sz w:val="16"/>
        <w:szCs w:val="16"/>
      </w:rPr>
      <w:t xml:space="preserve">   Croatian Bank for Reconstruction and Development</w:t>
    </w:r>
  </w:p>
  <w:p w14:paraId="56591980" w14:textId="77777777" w:rsidR="00DC6AD0" w:rsidRDefault="00DC6AD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65CC8" w14:textId="5B631BF0" w:rsidR="003737F8" w:rsidRPr="001A5DE3" w:rsidRDefault="003737F8"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1</w:t>
    </w:r>
    <w:r>
      <w:rPr>
        <w:rFonts w:ascii="Arial" w:eastAsia="Times New Roman" w:hAnsi="Arial" w:cs="Arial"/>
        <w:sz w:val="16"/>
        <w:szCs w:val="16"/>
      </w:rPr>
      <w:t>6</w:t>
    </w:r>
    <w:r w:rsidRPr="001A5DE3">
      <w:rPr>
        <w:rFonts w:ascii="Arial" w:eastAsia="Times New Roman" w:hAnsi="Arial" w:cs="Arial"/>
        <w:sz w:val="16"/>
        <w:szCs w:val="16"/>
      </w:rPr>
      <w:t xml:space="preserve">   Croatian Bank for Reconstruction and Development</w:t>
    </w:r>
  </w:p>
  <w:p w14:paraId="0B720B8C" w14:textId="77777777" w:rsidR="003737F8" w:rsidRDefault="00373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DEC7" w14:textId="28C8609C" w:rsidR="00DC6AD0" w:rsidRPr="00E925F5" w:rsidRDefault="00DC6AD0"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E925F5">
      <w:rPr>
        <w:rFonts w:ascii="Arial" w:eastAsia="Times New Roman" w:hAnsi="Arial" w:cs="Arial"/>
        <w:sz w:val="16"/>
        <w:szCs w:val="16"/>
      </w:rPr>
      <w:t xml:space="preserve">2   </w:t>
    </w:r>
    <w:r w:rsidRPr="00E925F5">
      <w:rPr>
        <w:rFonts w:ascii="Arial" w:eastAsia="Times New Roman" w:hAnsi="Arial" w:cs="Arial"/>
        <w:sz w:val="16"/>
        <w:szCs w:val="16"/>
        <w:lang w:val="en-GB"/>
      </w:rPr>
      <w:t>Croatian Bank for Reconstruction and Development</w:t>
    </w:r>
  </w:p>
  <w:p w14:paraId="6D694D69" w14:textId="77777777" w:rsidR="00DC6AD0" w:rsidRPr="00E925F5" w:rsidRDefault="00DC6AD0">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4E1B" w14:textId="32E64C0D" w:rsidR="00DC6AD0" w:rsidRPr="001A5DE3" w:rsidRDefault="00DC6AD0"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 xml:space="preserve">3   </w:t>
    </w:r>
    <w:r w:rsidRPr="001A5DE3">
      <w:rPr>
        <w:rFonts w:ascii="Arial" w:eastAsia="Times New Roman" w:hAnsi="Arial" w:cs="Arial"/>
        <w:sz w:val="16"/>
        <w:szCs w:val="16"/>
        <w:lang w:val="en-GB"/>
      </w:rPr>
      <w:t>Croatian Bank for Reconstruction and Development</w:t>
    </w:r>
  </w:p>
  <w:p w14:paraId="287955CD" w14:textId="77777777" w:rsidR="00DC6AD0" w:rsidRDefault="00DC6A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31488" w14:textId="77777777" w:rsidR="00DC6AD0" w:rsidRPr="00290697" w:rsidRDefault="00DC6AD0">
    <w:pPr>
      <w:pStyle w:val="Footer"/>
      <w:jc w:val="center"/>
      <w:rPr>
        <w:sz w:val="18"/>
        <w:szCs w:val="18"/>
      </w:rPr>
    </w:pPr>
  </w:p>
  <w:p w14:paraId="3BA78970" w14:textId="586F887A"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255053F9" w14:textId="77777777" w:rsidR="00DC6AD0" w:rsidRDefault="00DC6A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38B67" w14:textId="53536700" w:rsidR="00DC6AD0" w:rsidRPr="001A5DE3" w:rsidRDefault="00DC6AD0"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 xml:space="preserve">4   Croatian Bank </w:t>
    </w:r>
    <w:r w:rsidRPr="001A5DE3">
      <w:rPr>
        <w:rFonts w:ascii="Arial" w:eastAsia="Times New Roman" w:hAnsi="Arial" w:cs="Arial"/>
        <w:sz w:val="16"/>
        <w:szCs w:val="16"/>
        <w:lang w:val="en-GB"/>
      </w:rPr>
      <w:t>for Reconstruction and Development</w:t>
    </w:r>
  </w:p>
  <w:p w14:paraId="2D17F451" w14:textId="77777777" w:rsidR="00DC6AD0" w:rsidRDefault="00DC6A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9F44" w14:textId="7C2E8011" w:rsidR="00DC6AD0" w:rsidRPr="001A5DE3" w:rsidRDefault="00DC6AD0"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 xml:space="preserve">5   Croatian Bank </w:t>
    </w:r>
    <w:r w:rsidRPr="001A5DE3">
      <w:rPr>
        <w:rFonts w:ascii="Arial" w:eastAsia="Times New Roman" w:hAnsi="Arial" w:cs="Arial"/>
        <w:sz w:val="16"/>
        <w:szCs w:val="16"/>
        <w:lang w:val="en-GB"/>
      </w:rPr>
      <w:t>for Reconstruction and Development</w:t>
    </w:r>
  </w:p>
  <w:p w14:paraId="1202C6A7" w14:textId="77777777" w:rsidR="00DC6AD0" w:rsidRDefault="00DC6A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59A46" w14:textId="1263A43C" w:rsidR="00DC6AD0" w:rsidRPr="001A5DE3" w:rsidRDefault="00DC6AD0"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 xml:space="preserve">6   Croatian Bank for </w:t>
    </w:r>
    <w:r w:rsidRPr="001A5DE3">
      <w:rPr>
        <w:rFonts w:ascii="Arial" w:eastAsia="Times New Roman" w:hAnsi="Arial" w:cs="Arial"/>
        <w:sz w:val="16"/>
        <w:szCs w:val="16"/>
        <w:lang w:val="en-GB"/>
      </w:rPr>
      <w:t>Reconstruction and Development</w:t>
    </w:r>
  </w:p>
  <w:p w14:paraId="740C5601" w14:textId="77777777" w:rsidR="00DC6AD0" w:rsidRDefault="00DC6AD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5676" w14:textId="06DBFC9D" w:rsidR="00DC6AD0" w:rsidRPr="001A5DE3" w:rsidRDefault="00DC6AD0"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7   Croatian Bank for Reconstruction and Development</w:t>
    </w:r>
  </w:p>
  <w:p w14:paraId="0434D46C" w14:textId="77777777" w:rsidR="00DC6AD0" w:rsidRDefault="00DC6AD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8E3FB" w14:textId="282BBB72" w:rsidR="00DC6AD0" w:rsidRPr="001A5DE3"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1A5DE3">
      <w:rPr>
        <w:rFonts w:ascii="Arial" w:eastAsia="Times New Roman" w:hAnsi="Arial" w:cs="Arial"/>
        <w:sz w:val="16"/>
        <w:szCs w:val="16"/>
      </w:rPr>
      <w:t>8   Croatian Bank for Reconstruction and Development</w:t>
    </w:r>
  </w:p>
  <w:p w14:paraId="452EDA3E" w14:textId="77777777" w:rsidR="00DC6AD0" w:rsidRDefault="00DC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E4A03" w14:textId="77777777" w:rsidR="00DC6AD0" w:rsidRDefault="00DC6AD0" w:rsidP="00AE35D1">
      <w:pPr>
        <w:spacing w:after="0" w:line="240" w:lineRule="auto"/>
      </w:pPr>
      <w:r>
        <w:separator/>
      </w:r>
    </w:p>
  </w:footnote>
  <w:footnote w:type="continuationSeparator" w:id="0">
    <w:p w14:paraId="27D54F46" w14:textId="77777777" w:rsidR="00DC6AD0" w:rsidRDefault="00DC6AD0" w:rsidP="00AE3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65219120">
    <w:abstractNumId w:val="6"/>
  </w:num>
  <w:num w:numId="2" w16cid:durableId="1070999061">
    <w:abstractNumId w:val="13"/>
  </w:num>
  <w:num w:numId="3" w16cid:durableId="1047342849">
    <w:abstractNumId w:val="3"/>
  </w:num>
  <w:num w:numId="4" w16cid:durableId="1732993702">
    <w:abstractNumId w:val="1"/>
  </w:num>
  <w:num w:numId="5" w16cid:durableId="1862936212">
    <w:abstractNumId w:val="7"/>
  </w:num>
  <w:num w:numId="6" w16cid:durableId="438112477">
    <w:abstractNumId w:val="0"/>
  </w:num>
  <w:num w:numId="7" w16cid:durableId="252012749">
    <w:abstractNumId w:val="19"/>
  </w:num>
  <w:num w:numId="8" w16cid:durableId="1425808423">
    <w:abstractNumId w:val="8"/>
  </w:num>
  <w:num w:numId="9" w16cid:durableId="1904480878">
    <w:abstractNumId w:val="2"/>
  </w:num>
  <w:num w:numId="10" w16cid:durableId="1604415733">
    <w:abstractNumId w:val="11"/>
  </w:num>
  <w:num w:numId="11" w16cid:durableId="1504466134">
    <w:abstractNumId w:val="16"/>
  </w:num>
  <w:num w:numId="12" w16cid:durableId="1044132791">
    <w:abstractNumId w:val="14"/>
  </w:num>
  <w:num w:numId="13" w16cid:durableId="1558591158">
    <w:abstractNumId w:val="17"/>
  </w:num>
  <w:num w:numId="14" w16cid:durableId="660501065">
    <w:abstractNumId w:val="18"/>
  </w:num>
  <w:num w:numId="15" w16cid:durableId="241522868">
    <w:abstractNumId w:val="4"/>
  </w:num>
  <w:num w:numId="16" w16cid:durableId="113984371">
    <w:abstractNumId w:val="15"/>
  </w:num>
  <w:num w:numId="17" w16cid:durableId="1268386136">
    <w:abstractNumId w:val="12"/>
  </w:num>
  <w:num w:numId="18" w16cid:durableId="1929195419">
    <w:abstractNumId w:val="9"/>
  </w:num>
  <w:num w:numId="19" w16cid:durableId="1279217018">
    <w:abstractNumId w:val="10"/>
  </w:num>
  <w:num w:numId="20" w16cid:durableId="1043215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677"/>
    <w:rsid w:val="000008C2"/>
    <w:rsid w:val="00000DB3"/>
    <w:rsid w:val="00001125"/>
    <w:rsid w:val="00002FB6"/>
    <w:rsid w:val="00005346"/>
    <w:rsid w:val="00005E96"/>
    <w:rsid w:val="00006EF5"/>
    <w:rsid w:val="00011681"/>
    <w:rsid w:val="0001281B"/>
    <w:rsid w:val="0001297D"/>
    <w:rsid w:val="00013CB8"/>
    <w:rsid w:val="0001410A"/>
    <w:rsid w:val="000149E9"/>
    <w:rsid w:val="00014F0B"/>
    <w:rsid w:val="000153DE"/>
    <w:rsid w:val="00015A3C"/>
    <w:rsid w:val="00015B7C"/>
    <w:rsid w:val="0001708D"/>
    <w:rsid w:val="00017C3D"/>
    <w:rsid w:val="000206EB"/>
    <w:rsid w:val="00021087"/>
    <w:rsid w:val="00022C04"/>
    <w:rsid w:val="00022EB0"/>
    <w:rsid w:val="00022EF3"/>
    <w:rsid w:val="000241D5"/>
    <w:rsid w:val="000244BE"/>
    <w:rsid w:val="000250FE"/>
    <w:rsid w:val="00031476"/>
    <w:rsid w:val="00031979"/>
    <w:rsid w:val="00035E8F"/>
    <w:rsid w:val="00035EEC"/>
    <w:rsid w:val="0003783D"/>
    <w:rsid w:val="00037EC8"/>
    <w:rsid w:val="00041197"/>
    <w:rsid w:val="000411AD"/>
    <w:rsid w:val="00041D20"/>
    <w:rsid w:val="00042D33"/>
    <w:rsid w:val="0004513C"/>
    <w:rsid w:val="000454B4"/>
    <w:rsid w:val="00045721"/>
    <w:rsid w:val="00045CCC"/>
    <w:rsid w:val="00047F32"/>
    <w:rsid w:val="0005277D"/>
    <w:rsid w:val="000562A7"/>
    <w:rsid w:val="000562A8"/>
    <w:rsid w:val="00057B61"/>
    <w:rsid w:val="00057C14"/>
    <w:rsid w:val="00060F44"/>
    <w:rsid w:val="000617E0"/>
    <w:rsid w:val="00062A07"/>
    <w:rsid w:val="00062E57"/>
    <w:rsid w:val="000668CE"/>
    <w:rsid w:val="00067D16"/>
    <w:rsid w:val="00072C81"/>
    <w:rsid w:val="00073263"/>
    <w:rsid w:val="000737D9"/>
    <w:rsid w:val="000743E9"/>
    <w:rsid w:val="00075515"/>
    <w:rsid w:val="00075D3D"/>
    <w:rsid w:val="00077437"/>
    <w:rsid w:val="000800B5"/>
    <w:rsid w:val="00081940"/>
    <w:rsid w:val="00081FA0"/>
    <w:rsid w:val="00083232"/>
    <w:rsid w:val="00083BDC"/>
    <w:rsid w:val="0008445B"/>
    <w:rsid w:val="00085A1E"/>
    <w:rsid w:val="00085CBD"/>
    <w:rsid w:val="00085E8C"/>
    <w:rsid w:val="00090260"/>
    <w:rsid w:val="00090F12"/>
    <w:rsid w:val="00092DFD"/>
    <w:rsid w:val="000930D6"/>
    <w:rsid w:val="00093893"/>
    <w:rsid w:val="00093FFC"/>
    <w:rsid w:val="00094C98"/>
    <w:rsid w:val="000A14D2"/>
    <w:rsid w:val="000A211F"/>
    <w:rsid w:val="000A39B5"/>
    <w:rsid w:val="000A516A"/>
    <w:rsid w:val="000A523F"/>
    <w:rsid w:val="000A6D8E"/>
    <w:rsid w:val="000A76E4"/>
    <w:rsid w:val="000A7CB4"/>
    <w:rsid w:val="000A7CE2"/>
    <w:rsid w:val="000B0090"/>
    <w:rsid w:val="000B2CC8"/>
    <w:rsid w:val="000B342A"/>
    <w:rsid w:val="000B3FE6"/>
    <w:rsid w:val="000B56CC"/>
    <w:rsid w:val="000B5BD5"/>
    <w:rsid w:val="000B6268"/>
    <w:rsid w:val="000B6619"/>
    <w:rsid w:val="000B7325"/>
    <w:rsid w:val="000B7946"/>
    <w:rsid w:val="000B7E5F"/>
    <w:rsid w:val="000C2B06"/>
    <w:rsid w:val="000C3336"/>
    <w:rsid w:val="000C63F0"/>
    <w:rsid w:val="000C64D3"/>
    <w:rsid w:val="000C6D38"/>
    <w:rsid w:val="000C7868"/>
    <w:rsid w:val="000D555D"/>
    <w:rsid w:val="000D7ADE"/>
    <w:rsid w:val="000E13CC"/>
    <w:rsid w:val="000E37BB"/>
    <w:rsid w:val="000E3A01"/>
    <w:rsid w:val="000E3F18"/>
    <w:rsid w:val="000E4ABB"/>
    <w:rsid w:val="000E4B17"/>
    <w:rsid w:val="000E7285"/>
    <w:rsid w:val="000F04E1"/>
    <w:rsid w:val="000F09ED"/>
    <w:rsid w:val="000F2D32"/>
    <w:rsid w:val="000F3410"/>
    <w:rsid w:val="000F48C8"/>
    <w:rsid w:val="000F54DA"/>
    <w:rsid w:val="000F59D5"/>
    <w:rsid w:val="000F670B"/>
    <w:rsid w:val="000F7480"/>
    <w:rsid w:val="001002A2"/>
    <w:rsid w:val="0010063A"/>
    <w:rsid w:val="001014AC"/>
    <w:rsid w:val="00102A38"/>
    <w:rsid w:val="00104E82"/>
    <w:rsid w:val="00105C1F"/>
    <w:rsid w:val="001101C0"/>
    <w:rsid w:val="00111FB4"/>
    <w:rsid w:val="0011250C"/>
    <w:rsid w:val="0011293B"/>
    <w:rsid w:val="00113256"/>
    <w:rsid w:val="00120C3D"/>
    <w:rsid w:val="00122A35"/>
    <w:rsid w:val="001230A2"/>
    <w:rsid w:val="00124861"/>
    <w:rsid w:val="0012542F"/>
    <w:rsid w:val="00127810"/>
    <w:rsid w:val="00130FE8"/>
    <w:rsid w:val="001312B5"/>
    <w:rsid w:val="001314B6"/>
    <w:rsid w:val="001320B3"/>
    <w:rsid w:val="001320FF"/>
    <w:rsid w:val="00132877"/>
    <w:rsid w:val="0013477D"/>
    <w:rsid w:val="0013484A"/>
    <w:rsid w:val="0013644E"/>
    <w:rsid w:val="00140D1A"/>
    <w:rsid w:val="00142A9D"/>
    <w:rsid w:val="001432B3"/>
    <w:rsid w:val="0014476E"/>
    <w:rsid w:val="0014550E"/>
    <w:rsid w:val="001475D0"/>
    <w:rsid w:val="00147A3B"/>
    <w:rsid w:val="00147BED"/>
    <w:rsid w:val="00151AB4"/>
    <w:rsid w:val="00152275"/>
    <w:rsid w:val="001526BF"/>
    <w:rsid w:val="00152B60"/>
    <w:rsid w:val="00153A85"/>
    <w:rsid w:val="00154A76"/>
    <w:rsid w:val="001564EC"/>
    <w:rsid w:val="00156F4B"/>
    <w:rsid w:val="00157AA7"/>
    <w:rsid w:val="001607DE"/>
    <w:rsid w:val="00160913"/>
    <w:rsid w:val="00160DCE"/>
    <w:rsid w:val="00161667"/>
    <w:rsid w:val="001637D9"/>
    <w:rsid w:val="00165954"/>
    <w:rsid w:val="00165E58"/>
    <w:rsid w:val="00166910"/>
    <w:rsid w:val="00166F19"/>
    <w:rsid w:val="00167614"/>
    <w:rsid w:val="00171348"/>
    <w:rsid w:val="00171573"/>
    <w:rsid w:val="001718A7"/>
    <w:rsid w:val="00171E49"/>
    <w:rsid w:val="001721EA"/>
    <w:rsid w:val="00172E99"/>
    <w:rsid w:val="00173F9B"/>
    <w:rsid w:val="00174B17"/>
    <w:rsid w:val="00174EDE"/>
    <w:rsid w:val="0017521A"/>
    <w:rsid w:val="001755C7"/>
    <w:rsid w:val="001756A5"/>
    <w:rsid w:val="001771E0"/>
    <w:rsid w:val="00177EA8"/>
    <w:rsid w:val="001805FF"/>
    <w:rsid w:val="0018076C"/>
    <w:rsid w:val="00180B86"/>
    <w:rsid w:val="00182752"/>
    <w:rsid w:val="0018376E"/>
    <w:rsid w:val="0018377C"/>
    <w:rsid w:val="00184C66"/>
    <w:rsid w:val="00187D89"/>
    <w:rsid w:val="00192218"/>
    <w:rsid w:val="00192451"/>
    <w:rsid w:val="00192762"/>
    <w:rsid w:val="00192D81"/>
    <w:rsid w:val="001939D0"/>
    <w:rsid w:val="00193CEC"/>
    <w:rsid w:val="0019558E"/>
    <w:rsid w:val="001966AA"/>
    <w:rsid w:val="001A05CD"/>
    <w:rsid w:val="001A0A37"/>
    <w:rsid w:val="001A1366"/>
    <w:rsid w:val="001A137F"/>
    <w:rsid w:val="001A1DF0"/>
    <w:rsid w:val="001A2E50"/>
    <w:rsid w:val="001A4063"/>
    <w:rsid w:val="001A41FE"/>
    <w:rsid w:val="001A4847"/>
    <w:rsid w:val="001A5DE3"/>
    <w:rsid w:val="001A60B3"/>
    <w:rsid w:val="001A621E"/>
    <w:rsid w:val="001B0533"/>
    <w:rsid w:val="001B0B2A"/>
    <w:rsid w:val="001B0E3E"/>
    <w:rsid w:val="001B15DD"/>
    <w:rsid w:val="001B1A65"/>
    <w:rsid w:val="001B225C"/>
    <w:rsid w:val="001B2559"/>
    <w:rsid w:val="001B2813"/>
    <w:rsid w:val="001B3C94"/>
    <w:rsid w:val="001B641B"/>
    <w:rsid w:val="001C0568"/>
    <w:rsid w:val="001C1FDF"/>
    <w:rsid w:val="001C2FB0"/>
    <w:rsid w:val="001C3F5F"/>
    <w:rsid w:val="001C47BF"/>
    <w:rsid w:val="001C4AAD"/>
    <w:rsid w:val="001C559B"/>
    <w:rsid w:val="001C5AF7"/>
    <w:rsid w:val="001C5C3D"/>
    <w:rsid w:val="001C6D63"/>
    <w:rsid w:val="001C75C2"/>
    <w:rsid w:val="001C7CA1"/>
    <w:rsid w:val="001D168C"/>
    <w:rsid w:val="001D2396"/>
    <w:rsid w:val="001D478E"/>
    <w:rsid w:val="001D607A"/>
    <w:rsid w:val="001D613D"/>
    <w:rsid w:val="001D736C"/>
    <w:rsid w:val="001D7E9D"/>
    <w:rsid w:val="001E06D4"/>
    <w:rsid w:val="001E0C96"/>
    <w:rsid w:val="001E1110"/>
    <w:rsid w:val="001E1C56"/>
    <w:rsid w:val="001E329C"/>
    <w:rsid w:val="001F19FB"/>
    <w:rsid w:val="001F28BE"/>
    <w:rsid w:val="001F5041"/>
    <w:rsid w:val="001F5378"/>
    <w:rsid w:val="00200951"/>
    <w:rsid w:val="00204142"/>
    <w:rsid w:val="00204945"/>
    <w:rsid w:val="00205E14"/>
    <w:rsid w:val="00206F16"/>
    <w:rsid w:val="00207E12"/>
    <w:rsid w:val="002105C2"/>
    <w:rsid w:val="002105E8"/>
    <w:rsid w:val="00210D54"/>
    <w:rsid w:val="00211E5D"/>
    <w:rsid w:val="0021296D"/>
    <w:rsid w:val="00212DE6"/>
    <w:rsid w:val="002138C6"/>
    <w:rsid w:val="002139EA"/>
    <w:rsid w:val="00214829"/>
    <w:rsid w:val="00214D08"/>
    <w:rsid w:val="00215C0A"/>
    <w:rsid w:val="00217943"/>
    <w:rsid w:val="00217A10"/>
    <w:rsid w:val="00220F90"/>
    <w:rsid w:val="002211A4"/>
    <w:rsid w:val="00221BB0"/>
    <w:rsid w:val="00221E48"/>
    <w:rsid w:val="00222832"/>
    <w:rsid w:val="002237F3"/>
    <w:rsid w:val="00223DA7"/>
    <w:rsid w:val="00224E76"/>
    <w:rsid w:val="00225CF2"/>
    <w:rsid w:val="002260BD"/>
    <w:rsid w:val="00226C6E"/>
    <w:rsid w:val="0022767B"/>
    <w:rsid w:val="002277BB"/>
    <w:rsid w:val="00227D42"/>
    <w:rsid w:val="00230F2C"/>
    <w:rsid w:val="00231A68"/>
    <w:rsid w:val="00232DB9"/>
    <w:rsid w:val="00234396"/>
    <w:rsid w:val="00234612"/>
    <w:rsid w:val="00236D09"/>
    <w:rsid w:val="00236FE9"/>
    <w:rsid w:val="002417E1"/>
    <w:rsid w:val="00244B32"/>
    <w:rsid w:val="00244FF9"/>
    <w:rsid w:val="00245666"/>
    <w:rsid w:val="00246384"/>
    <w:rsid w:val="0024653F"/>
    <w:rsid w:val="00254837"/>
    <w:rsid w:val="00255DD3"/>
    <w:rsid w:val="002563D1"/>
    <w:rsid w:val="002567A4"/>
    <w:rsid w:val="00257EE2"/>
    <w:rsid w:val="002622DD"/>
    <w:rsid w:val="00264224"/>
    <w:rsid w:val="0026752C"/>
    <w:rsid w:val="00267EEB"/>
    <w:rsid w:val="002714FC"/>
    <w:rsid w:val="00272CA5"/>
    <w:rsid w:val="00273E6D"/>
    <w:rsid w:val="002744E8"/>
    <w:rsid w:val="002747FD"/>
    <w:rsid w:val="0027532B"/>
    <w:rsid w:val="002754A5"/>
    <w:rsid w:val="00275D45"/>
    <w:rsid w:val="00276AFC"/>
    <w:rsid w:val="00276D4D"/>
    <w:rsid w:val="0027798B"/>
    <w:rsid w:val="00277B1C"/>
    <w:rsid w:val="00280418"/>
    <w:rsid w:val="00280FD9"/>
    <w:rsid w:val="00282E66"/>
    <w:rsid w:val="002834B1"/>
    <w:rsid w:val="00285B02"/>
    <w:rsid w:val="00285B71"/>
    <w:rsid w:val="0028738E"/>
    <w:rsid w:val="00290697"/>
    <w:rsid w:val="002910FC"/>
    <w:rsid w:val="002915DB"/>
    <w:rsid w:val="00291773"/>
    <w:rsid w:val="00292D67"/>
    <w:rsid w:val="00292FAF"/>
    <w:rsid w:val="002969B8"/>
    <w:rsid w:val="002970F6"/>
    <w:rsid w:val="002A01FF"/>
    <w:rsid w:val="002A0507"/>
    <w:rsid w:val="002A10E9"/>
    <w:rsid w:val="002A38D0"/>
    <w:rsid w:val="002A4EE2"/>
    <w:rsid w:val="002A599E"/>
    <w:rsid w:val="002B1A0D"/>
    <w:rsid w:val="002B3CC1"/>
    <w:rsid w:val="002B45D9"/>
    <w:rsid w:val="002B4AC1"/>
    <w:rsid w:val="002B551C"/>
    <w:rsid w:val="002B58C5"/>
    <w:rsid w:val="002B6016"/>
    <w:rsid w:val="002B782C"/>
    <w:rsid w:val="002B7A48"/>
    <w:rsid w:val="002B7D68"/>
    <w:rsid w:val="002C11A1"/>
    <w:rsid w:val="002C3634"/>
    <w:rsid w:val="002C48CB"/>
    <w:rsid w:val="002C4B6D"/>
    <w:rsid w:val="002C4FED"/>
    <w:rsid w:val="002C547A"/>
    <w:rsid w:val="002C5776"/>
    <w:rsid w:val="002C64CB"/>
    <w:rsid w:val="002D0CE5"/>
    <w:rsid w:val="002D1C76"/>
    <w:rsid w:val="002D23C5"/>
    <w:rsid w:val="002D304B"/>
    <w:rsid w:val="002D3BA1"/>
    <w:rsid w:val="002D5848"/>
    <w:rsid w:val="002D5C34"/>
    <w:rsid w:val="002D6AD9"/>
    <w:rsid w:val="002E121E"/>
    <w:rsid w:val="002E1603"/>
    <w:rsid w:val="002E20F5"/>
    <w:rsid w:val="002E216A"/>
    <w:rsid w:val="002E269E"/>
    <w:rsid w:val="002E3531"/>
    <w:rsid w:val="002E5A66"/>
    <w:rsid w:val="002E6DE1"/>
    <w:rsid w:val="002E7AD5"/>
    <w:rsid w:val="002E7EA9"/>
    <w:rsid w:val="002F0A29"/>
    <w:rsid w:val="002F28C8"/>
    <w:rsid w:val="002F36CA"/>
    <w:rsid w:val="002F4419"/>
    <w:rsid w:val="002F52CD"/>
    <w:rsid w:val="002F5BBC"/>
    <w:rsid w:val="002F66C5"/>
    <w:rsid w:val="002F7D98"/>
    <w:rsid w:val="0030186D"/>
    <w:rsid w:val="0030270F"/>
    <w:rsid w:val="003037DC"/>
    <w:rsid w:val="00304DC3"/>
    <w:rsid w:val="00304FB3"/>
    <w:rsid w:val="0030575E"/>
    <w:rsid w:val="0030628B"/>
    <w:rsid w:val="0030630F"/>
    <w:rsid w:val="00306D3A"/>
    <w:rsid w:val="00306F10"/>
    <w:rsid w:val="00306F85"/>
    <w:rsid w:val="00310146"/>
    <w:rsid w:val="00310590"/>
    <w:rsid w:val="00310F96"/>
    <w:rsid w:val="0031188D"/>
    <w:rsid w:val="003132C3"/>
    <w:rsid w:val="00313381"/>
    <w:rsid w:val="0031563A"/>
    <w:rsid w:val="00317B07"/>
    <w:rsid w:val="00317B7A"/>
    <w:rsid w:val="00317F7D"/>
    <w:rsid w:val="00320B48"/>
    <w:rsid w:val="003213D1"/>
    <w:rsid w:val="00321A22"/>
    <w:rsid w:val="003222CF"/>
    <w:rsid w:val="003234B8"/>
    <w:rsid w:val="00324025"/>
    <w:rsid w:val="00324D27"/>
    <w:rsid w:val="00330EEC"/>
    <w:rsid w:val="00331DF5"/>
    <w:rsid w:val="0033403B"/>
    <w:rsid w:val="0033512D"/>
    <w:rsid w:val="003358AA"/>
    <w:rsid w:val="003378CD"/>
    <w:rsid w:val="00340A85"/>
    <w:rsid w:val="003439D3"/>
    <w:rsid w:val="00344F38"/>
    <w:rsid w:val="0034519D"/>
    <w:rsid w:val="00345A17"/>
    <w:rsid w:val="00346285"/>
    <w:rsid w:val="00347BB2"/>
    <w:rsid w:val="003513FA"/>
    <w:rsid w:val="003516A1"/>
    <w:rsid w:val="0035238F"/>
    <w:rsid w:val="0035268A"/>
    <w:rsid w:val="003539E5"/>
    <w:rsid w:val="003554BF"/>
    <w:rsid w:val="00356724"/>
    <w:rsid w:val="003571EC"/>
    <w:rsid w:val="003603A1"/>
    <w:rsid w:val="003661CA"/>
    <w:rsid w:val="00366448"/>
    <w:rsid w:val="00366BCB"/>
    <w:rsid w:val="00366CEB"/>
    <w:rsid w:val="00370E5A"/>
    <w:rsid w:val="00371E4D"/>
    <w:rsid w:val="003727B4"/>
    <w:rsid w:val="003737F8"/>
    <w:rsid w:val="00373D3F"/>
    <w:rsid w:val="00374300"/>
    <w:rsid w:val="00375495"/>
    <w:rsid w:val="0037736C"/>
    <w:rsid w:val="003779BF"/>
    <w:rsid w:val="0038011D"/>
    <w:rsid w:val="003830C8"/>
    <w:rsid w:val="00383965"/>
    <w:rsid w:val="00385284"/>
    <w:rsid w:val="003869DA"/>
    <w:rsid w:val="00386C27"/>
    <w:rsid w:val="0039116D"/>
    <w:rsid w:val="00392C03"/>
    <w:rsid w:val="00393647"/>
    <w:rsid w:val="0039551A"/>
    <w:rsid w:val="003979AE"/>
    <w:rsid w:val="003A289A"/>
    <w:rsid w:val="003A36A8"/>
    <w:rsid w:val="003A411B"/>
    <w:rsid w:val="003A76BC"/>
    <w:rsid w:val="003B22E8"/>
    <w:rsid w:val="003B25C7"/>
    <w:rsid w:val="003B2E0F"/>
    <w:rsid w:val="003B3D5B"/>
    <w:rsid w:val="003C1A73"/>
    <w:rsid w:val="003C5F0E"/>
    <w:rsid w:val="003C7367"/>
    <w:rsid w:val="003C757B"/>
    <w:rsid w:val="003C7B1E"/>
    <w:rsid w:val="003D010A"/>
    <w:rsid w:val="003D01A5"/>
    <w:rsid w:val="003D0E4F"/>
    <w:rsid w:val="003D16B6"/>
    <w:rsid w:val="003D1972"/>
    <w:rsid w:val="003D407D"/>
    <w:rsid w:val="003D57BB"/>
    <w:rsid w:val="003D583C"/>
    <w:rsid w:val="003D5E90"/>
    <w:rsid w:val="003D636C"/>
    <w:rsid w:val="003E2CC0"/>
    <w:rsid w:val="003E2CF9"/>
    <w:rsid w:val="003E303E"/>
    <w:rsid w:val="003E3F30"/>
    <w:rsid w:val="003E432B"/>
    <w:rsid w:val="003E5F5C"/>
    <w:rsid w:val="003E6652"/>
    <w:rsid w:val="003E6CE4"/>
    <w:rsid w:val="003F0B76"/>
    <w:rsid w:val="003F1150"/>
    <w:rsid w:val="003F2303"/>
    <w:rsid w:val="003F245D"/>
    <w:rsid w:val="003F5B42"/>
    <w:rsid w:val="003F679B"/>
    <w:rsid w:val="003F794D"/>
    <w:rsid w:val="004006DC"/>
    <w:rsid w:val="00400E1E"/>
    <w:rsid w:val="00402103"/>
    <w:rsid w:val="00402611"/>
    <w:rsid w:val="004037B0"/>
    <w:rsid w:val="004038D1"/>
    <w:rsid w:val="004065CD"/>
    <w:rsid w:val="004066BD"/>
    <w:rsid w:val="00410152"/>
    <w:rsid w:val="0041096C"/>
    <w:rsid w:val="0041162A"/>
    <w:rsid w:val="0041359D"/>
    <w:rsid w:val="00414463"/>
    <w:rsid w:val="00414491"/>
    <w:rsid w:val="00414671"/>
    <w:rsid w:val="00416151"/>
    <w:rsid w:val="00416526"/>
    <w:rsid w:val="00416C9B"/>
    <w:rsid w:val="00416F51"/>
    <w:rsid w:val="00417B56"/>
    <w:rsid w:val="00420392"/>
    <w:rsid w:val="0042106D"/>
    <w:rsid w:val="00422588"/>
    <w:rsid w:val="00422C5C"/>
    <w:rsid w:val="0042499C"/>
    <w:rsid w:val="00425395"/>
    <w:rsid w:val="00425C36"/>
    <w:rsid w:val="00426055"/>
    <w:rsid w:val="00427715"/>
    <w:rsid w:val="00427B00"/>
    <w:rsid w:val="00427B54"/>
    <w:rsid w:val="00431335"/>
    <w:rsid w:val="004317DB"/>
    <w:rsid w:val="00431B44"/>
    <w:rsid w:val="004343FA"/>
    <w:rsid w:val="00436A1F"/>
    <w:rsid w:val="00436C10"/>
    <w:rsid w:val="004405CD"/>
    <w:rsid w:val="004420A9"/>
    <w:rsid w:val="0044218B"/>
    <w:rsid w:val="00442490"/>
    <w:rsid w:val="00443722"/>
    <w:rsid w:val="00443A7D"/>
    <w:rsid w:val="004447FC"/>
    <w:rsid w:val="0044748D"/>
    <w:rsid w:val="004475A0"/>
    <w:rsid w:val="004475EE"/>
    <w:rsid w:val="00451544"/>
    <w:rsid w:val="0045213B"/>
    <w:rsid w:val="004521D8"/>
    <w:rsid w:val="00452EC2"/>
    <w:rsid w:val="00452F29"/>
    <w:rsid w:val="00454956"/>
    <w:rsid w:val="00455BAA"/>
    <w:rsid w:val="004566F4"/>
    <w:rsid w:val="004567B5"/>
    <w:rsid w:val="0045716F"/>
    <w:rsid w:val="004576C5"/>
    <w:rsid w:val="00460613"/>
    <w:rsid w:val="00461388"/>
    <w:rsid w:val="00461505"/>
    <w:rsid w:val="00461D3C"/>
    <w:rsid w:val="004643C9"/>
    <w:rsid w:val="0046558A"/>
    <w:rsid w:val="00467093"/>
    <w:rsid w:val="004671B3"/>
    <w:rsid w:val="00470278"/>
    <w:rsid w:val="00471ABD"/>
    <w:rsid w:val="00472355"/>
    <w:rsid w:val="0047257D"/>
    <w:rsid w:val="00473488"/>
    <w:rsid w:val="0047434B"/>
    <w:rsid w:val="004757B9"/>
    <w:rsid w:val="00475A08"/>
    <w:rsid w:val="00475F6F"/>
    <w:rsid w:val="00476CDB"/>
    <w:rsid w:val="00477432"/>
    <w:rsid w:val="00481DEF"/>
    <w:rsid w:val="0048362C"/>
    <w:rsid w:val="004861F7"/>
    <w:rsid w:val="0048635F"/>
    <w:rsid w:val="00486FCF"/>
    <w:rsid w:val="00490057"/>
    <w:rsid w:val="004904DD"/>
    <w:rsid w:val="00494386"/>
    <w:rsid w:val="00494449"/>
    <w:rsid w:val="00496BFE"/>
    <w:rsid w:val="004A2189"/>
    <w:rsid w:val="004A5658"/>
    <w:rsid w:val="004B02BC"/>
    <w:rsid w:val="004B08D6"/>
    <w:rsid w:val="004B339A"/>
    <w:rsid w:val="004C00E3"/>
    <w:rsid w:val="004C0C3A"/>
    <w:rsid w:val="004C1D76"/>
    <w:rsid w:val="004C4CAA"/>
    <w:rsid w:val="004C5295"/>
    <w:rsid w:val="004C534E"/>
    <w:rsid w:val="004C5C55"/>
    <w:rsid w:val="004C6F63"/>
    <w:rsid w:val="004C7CD7"/>
    <w:rsid w:val="004D1AF5"/>
    <w:rsid w:val="004D3CE3"/>
    <w:rsid w:val="004D48A9"/>
    <w:rsid w:val="004D585C"/>
    <w:rsid w:val="004D70DE"/>
    <w:rsid w:val="004E082D"/>
    <w:rsid w:val="004E0E04"/>
    <w:rsid w:val="004E1E60"/>
    <w:rsid w:val="004E4CD5"/>
    <w:rsid w:val="004E588A"/>
    <w:rsid w:val="004E7CBC"/>
    <w:rsid w:val="004F12E4"/>
    <w:rsid w:val="004F32A1"/>
    <w:rsid w:val="004F3415"/>
    <w:rsid w:val="004F64B0"/>
    <w:rsid w:val="004F69B3"/>
    <w:rsid w:val="004F726B"/>
    <w:rsid w:val="00500B33"/>
    <w:rsid w:val="005014DC"/>
    <w:rsid w:val="00502A0A"/>
    <w:rsid w:val="00502F31"/>
    <w:rsid w:val="00503167"/>
    <w:rsid w:val="0050347C"/>
    <w:rsid w:val="005035CF"/>
    <w:rsid w:val="00504C3A"/>
    <w:rsid w:val="00505249"/>
    <w:rsid w:val="00505702"/>
    <w:rsid w:val="0051013E"/>
    <w:rsid w:val="00510C05"/>
    <w:rsid w:val="0051124A"/>
    <w:rsid w:val="005118FE"/>
    <w:rsid w:val="00514881"/>
    <w:rsid w:val="00515771"/>
    <w:rsid w:val="005201C6"/>
    <w:rsid w:val="00520922"/>
    <w:rsid w:val="00520D37"/>
    <w:rsid w:val="005236B6"/>
    <w:rsid w:val="00524200"/>
    <w:rsid w:val="00525A6E"/>
    <w:rsid w:val="00527B74"/>
    <w:rsid w:val="00527F1B"/>
    <w:rsid w:val="00530BDD"/>
    <w:rsid w:val="00531434"/>
    <w:rsid w:val="00531C98"/>
    <w:rsid w:val="005320C3"/>
    <w:rsid w:val="00532BBD"/>
    <w:rsid w:val="00534041"/>
    <w:rsid w:val="00534E9C"/>
    <w:rsid w:val="005361B4"/>
    <w:rsid w:val="005371EE"/>
    <w:rsid w:val="0054069A"/>
    <w:rsid w:val="00544A1D"/>
    <w:rsid w:val="00551404"/>
    <w:rsid w:val="00551AFB"/>
    <w:rsid w:val="005522A6"/>
    <w:rsid w:val="0055291F"/>
    <w:rsid w:val="00553346"/>
    <w:rsid w:val="00555D36"/>
    <w:rsid w:val="00555F2D"/>
    <w:rsid w:val="0056041B"/>
    <w:rsid w:val="005609E5"/>
    <w:rsid w:val="00562C3A"/>
    <w:rsid w:val="005654E7"/>
    <w:rsid w:val="00567460"/>
    <w:rsid w:val="00567B93"/>
    <w:rsid w:val="00572098"/>
    <w:rsid w:val="00572377"/>
    <w:rsid w:val="005744F8"/>
    <w:rsid w:val="00576D51"/>
    <w:rsid w:val="005776BF"/>
    <w:rsid w:val="00580995"/>
    <w:rsid w:val="00580D58"/>
    <w:rsid w:val="00582992"/>
    <w:rsid w:val="00582BB8"/>
    <w:rsid w:val="00585EF8"/>
    <w:rsid w:val="005871FA"/>
    <w:rsid w:val="0058795F"/>
    <w:rsid w:val="00587994"/>
    <w:rsid w:val="0059334C"/>
    <w:rsid w:val="00596884"/>
    <w:rsid w:val="00597DCD"/>
    <w:rsid w:val="005A01C0"/>
    <w:rsid w:val="005A184D"/>
    <w:rsid w:val="005A190F"/>
    <w:rsid w:val="005A35C6"/>
    <w:rsid w:val="005A6619"/>
    <w:rsid w:val="005A6D6B"/>
    <w:rsid w:val="005A7710"/>
    <w:rsid w:val="005A7C68"/>
    <w:rsid w:val="005B00A9"/>
    <w:rsid w:val="005B0A31"/>
    <w:rsid w:val="005B3188"/>
    <w:rsid w:val="005B58C5"/>
    <w:rsid w:val="005B5C42"/>
    <w:rsid w:val="005B6D62"/>
    <w:rsid w:val="005B7AB5"/>
    <w:rsid w:val="005C047B"/>
    <w:rsid w:val="005C09D2"/>
    <w:rsid w:val="005C0CE8"/>
    <w:rsid w:val="005C184F"/>
    <w:rsid w:val="005C198F"/>
    <w:rsid w:val="005C1D07"/>
    <w:rsid w:val="005C324A"/>
    <w:rsid w:val="005C671D"/>
    <w:rsid w:val="005C6BB4"/>
    <w:rsid w:val="005D019F"/>
    <w:rsid w:val="005D3904"/>
    <w:rsid w:val="005D4178"/>
    <w:rsid w:val="005D453B"/>
    <w:rsid w:val="005D4C16"/>
    <w:rsid w:val="005D559F"/>
    <w:rsid w:val="005D5AFF"/>
    <w:rsid w:val="005D5D73"/>
    <w:rsid w:val="005D71A4"/>
    <w:rsid w:val="005D71CC"/>
    <w:rsid w:val="005E0386"/>
    <w:rsid w:val="005E1DBD"/>
    <w:rsid w:val="005E2222"/>
    <w:rsid w:val="005E236B"/>
    <w:rsid w:val="005E2D42"/>
    <w:rsid w:val="005E2E17"/>
    <w:rsid w:val="005E471B"/>
    <w:rsid w:val="005E4AC8"/>
    <w:rsid w:val="005E5574"/>
    <w:rsid w:val="005E6C3C"/>
    <w:rsid w:val="005E754D"/>
    <w:rsid w:val="005E7AFD"/>
    <w:rsid w:val="005F0AE9"/>
    <w:rsid w:val="005F39E1"/>
    <w:rsid w:val="005F627E"/>
    <w:rsid w:val="005F6F84"/>
    <w:rsid w:val="005F7270"/>
    <w:rsid w:val="005F78AB"/>
    <w:rsid w:val="006003B1"/>
    <w:rsid w:val="00600431"/>
    <w:rsid w:val="00601BA3"/>
    <w:rsid w:val="00602844"/>
    <w:rsid w:val="00603925"/>
    <w:rsid w:val="00603953"/>
    <w:rsid w:val="00604B7E"/>
    <w:rsid w:val="00606B35"/>
    <w:rsid w:val="006071E3"/>
    <w:rsid w:val="0060731F"/>
    <w:rsid w:val="00607A0A"/>
    <w:rsid w:val="00610C8C"/>
    <w:rsid w:val="00611536"/>
    <w:rsid w:val="00611CCD"/>
    <w:rsid w:val="00613FE4"/>
    <w:rsid w:val="00615087"/>
    <w:rsid w:val="00620373"/>
    <w:rsid w:val="00621767"/>
    <w:rsid w:val="00621CA0"/>
    <w:rsid w:val="006220C1"/>
    <w:rsid w:val="006220D7"/>
    <w:rsid w:val="00623B18"/>
    <w:rsid w:val="00623C82"/>
    <w:rsid w:val="00624312"/>
    <w:rsid w:val="00626449"/>
    <w:rsid w:val="00627744"/>
    <w:rsid w:val="00627E2C"/>
    <w:rsid w:val="0063028C"/>
    <w:rsid w:val="00630B8F"/>
    <w:rsid w:val="00630BEF"/>
    <w:rsid w:val="00631363"/>
    <w:rsid w:val="00631E61"/>
    <w:rsid w:val="00632DBF"/>
    <w:rsid w:val="00633593"/>
    <w:rsid w:val="00634A7C"/>
    <w:rsid w:val="006369F0"/>
    <w:rsid w:val="00641265"/>
    <w:rsid w:val="00644808"/>
    <w:rsid w:val="00644E14"/>
    <w:rsid w:val="0064546C"/>
    <w:rsid w:val="00645528"/>
    <w:rsid w:val="00645771"/>
    <w:rsid w:val="00647585"/>
    <w:rsid w:val="006476A4"/>
    <w:rsid w:val="00650ADD"/>
    <w:rsid w:val="006549BA"/>
    <w:rsid w:val="0065565B"/>
    <w:rsid w:val="006561B5"/>
    <w:rsid w:val="0065688C"/>
    <w:rsid w:val="006571CF"/>
    <w:rsid w:val="006571D0"/>
    <w:rsid w:val="006574F4"/>
    <w:rsid w:val="00662B68"/>
    <w:rsid w:val="00662C57"/>
    <w:rsid w:val="006636A3"/>
    <w:rsid w:val="00665089"/>
    <w:rsid w:val="00665728"/>
    <w:rsid w:val="00665CBB"/>
    <w:rsid w:val="006672AE"/>
    <w:rsid w:val="00667312"/>
    <w:rsid w:val="00671E0F"/>
    <w:rsid w:val="006738F5"/>
    <w:rsid w:val="00674D1A"/>
    <w:rsid w:val="006750F2"/>
    <w:rsid w:val="00676976"/>
    <w:rsid w:val="00677EA0"/>
    <w:rsid w:val="00681907"/>
    <w:rsid w:val="006827A2"/>
    <w:rsid w:val="006847BD"/>
    <w:rsid w:val="00685E73"/>
    <w:rsid w:val="006866F8"/>
    <w:rsid w:val="00687D1A"/>
    <w:rsid w:val="00690BAA"/>
    <w:rsid w:val="00691C7C"/>
    <w:rsid w:val="0069232C"/>
    <w:rsid w:val="00692862"/>
    <w:rsid w:val="0069544A"/>
    <w:rsid w:val="00695460"/>
    <w:rsid w:val="00696B13"/>
    <w:rsid w:val="00696C5A"/>
    <w:rsid w:val="00696D5B"/>
    <w:rsid w:val="00696E5A"/>
    <w:rsid w:val="00697780"/>
    <w:rsid w:val="006A02AF"/>
    <w:rsid w:val="006A02FD"/>
    <w:rsid w:val="006A1478"/>
    <w:rsid w:val="006A1C18"/>
    <w:rsid w:val="006A1D7C"/>
    <w:rsid w:val="006A2C02"/>
    <w:rsid w:val="006A387A"/>
    <w:rsid w:val="006A42A6"/>
    <w:rsid w:val="006A43DB"/>
    <w:rsid w:val="006A547C"/>
    <w:rsid w:val="006A55DE"/>
    <w:rsid w:val="006A6C90"/>
    <w:rsid w:val="006B08BC"/>
    <w:rsid w:val="006B10CF"/>
    <w:rsid w:val="006B126F"/>
    <w:rsid w:val="006B1B39"/>
    <w:rsid w:val="006B1BE5"/>
    <w:rsid w:val="006B1CFF"/>
    <w:rsid w:val="006B2629"/>
    <w:rsid w:val="006B2826"/>
    <w:rsid w:val="006B3F2F"/>
    <w:rsid w:val="006B44F9"/>
    <w:rsid w:val="006B531C"/>
    <w:rsid w:val="006B7572"/>
    <w:rsid w:val="006C02BE"/>
    <w:rsid w:val="006C16D3"/>
    <w:rsid w:val="006C6102"/>
    <w:rsid w:val="006C6A89"/>
    <w:rsid w:val="006D0AB4"/>
    <w:rsid w:val="006D482A"/>
    <w:rsid w:val="006D614F"/>
    <w:rsid w:val="006D63F0"/>
    <w:rsid w:val="006D6813"/>
    <w:rsid w:val="006D6DDD"/>
    <w:rsid w:val="006E28E9"/>
    <w:rsid w:val="006E3E83"/>
    <w:rsid w:val="006E4CDA"/>
    <w:rsid w:val="006E4F97"/>
    <w:rsid w:val="006E54A3"/>
    <w:rsid w:val="006F1D30"/>
    <w:rsid w:val="006F26D9"/>
    <w:rsid w:val="006F2B22"/>
    <w:rsid w:val="006F535B"/>
    <w:rsid w:val="007004E5"/>
    <w:rsid w:val="00700998"/>
    <w:rsid w:val="00700ED8"/>
    <w:rsid w:val="00702B3D"/>
    <w:rsid w:val="00702E48"/>
    <w:rsid w:val="00702ECA"/>
    <w:rsid w:val="00703159"/>
    <w:rsid w:val="00704716"/>
    <w:rsid w:val="00705185"/>
    <w:rsid w:val="00707E68"/>
    <w:rsid w:val="0071073D"/>
    <w:rsid w:val="00710AC0"/>
    <w:rsid w:val="00710AE5"/>
    <w:rsid w:val="00711902"/>
    <w:rsid w:val="00714F1D"/>
    <w:rsid w:val="007162FD"/>
    <w:rsid w:val="00717BC5"/>
    <w:rsid w:val="00720F3F"/>
    <w:rsid w:val="007217DE"/>
    <w:rsid w:val="007221ED"/>
    <w:rsid w:val="0072395D"/>
    <w:rsid w:val="00724057"/>
    <w:rsid w:val="0072650F"/>
    <w:rsid w:val="0072678A"/>
    <w:rsid w:val="007304E2"/>
    <w:rsid w:val="007305EA"/>
    <w:rsid w:val="00733D40"/>
    <w:rsid w:val="007342C2"/>
    <w:rsid w:val="007350C0"/>
    <w:rsid w:val="0073540C"/>
    <w:rsid w:val="00735854"/>
    <w:rsid w:val="00735B63"/>
    <w:rsid w:val="00735F2B"/>
    <w:rsid w:val="0073733E"/>
    <w:rsid w:val="0074086A"/>
    <w:rsid w:val="007429C3"/>
    <w:rsid w:val="00742D45"/>
    <w:rsid w:val="007430CA"/>
    <w:rsid w:val="00744109"/>
    <w:rsid w:val="007446A8"/>
    <w:rsid w:val="00746BE9"/>
    <w:rsid w:val="00747579"/>
    <w:rsid w:val="0074784B"/>
    <w:rsid w:val="00751141"/>
    <w:rsid w:val="00753BD3"/>
    <w:rsid w:val="00754472"/>
    <w:rsid w:val="00755255"/>
    <w:rsid w:val="0075556E"/>
    <w:rsid w:val="0075772D"/>
    <w:rsid w:val="00761417"/>
    <w:rsid w:val="00762463"/>
    <w:rsid w:val="0076398F"/>
    <w:rsid w:val="00765976"/>
    <w:rsid w:val="00765AC6"/>
    <w:rsid w:val="007667DB"/>
    <w:rsid w:val="0076739E"/>
    <w:rsid w:val="00767E36"/>
    <w:rsid w:val="0077024A"/>
    <w:rsid w:val="00770F61"/>
    <w:rsid w:val="00771C30"/>
    <w:rsid w:val="00776518"/>
    <w:rsid w:val="00777891"/>
    <w:rsid w:val="00777D96"/>
    <w:rsid w:val="00781556"/>
    <w:rsid w:val="00783A4F"/>
    <w:rsid w:val="00783AEC"/>
    <w:rsid w:val="00784CC5"/>
    <w:rsid w:val="007859D5"/>
    <w:rsid w:val="00786303"/>
    <w:rsid w:val="007866A7"/>
    <w:rsid w:val="00786C65"/>
    <w:rsid w:val="00786FAA"/>
    <w:rsid w:val="00787316"/>
    <w:rsid w:val="007937A8"/>
    <w:rsid w:val="00794634"/>
    <w:rsid w:val="00794772"/>
    <w:rsid w:val="0079556D"/>
    <w:rsid w:val="007955CC"/>
    <w:rsid w:val="00796388"/>
    <w:rsid w:val="00797994"/>
    <w:rsid w:val="00797BC9"/>
    <w:rsid w:val="007A011B"/>
    <w:rsid w:val="007A13D3"/>
    <w:rsid w:val="007A3135"/>
    <w:rsid w:val="007A349B"/>
    <w:rsid w:val="007A3C54"/>
    <w:rsid w:val="007A4582"/>
    <w:rsid w:val="007A4BD0"/>
    <w:rsid w:val="007A681A"/>
    <w:rsid w:val="007B0613"/>
    <w:rsid w:val="007B069A"/>
    <w:rsid w:val="007B0AE6"/>
    <w:rsid w:val="007B19AC"/>
    <w:rsid w:val="007B4B96"/>
    <w:rsid w:val="007B5D75"/>
    <w:rsid w:val="007B5F64"/>
    <w:rsid w:val="007B709D"/>
    <w:rsid w:val="007B7548"/>
    <w:rsid w:val="007C058B"/>
    <w:rsid w:val="007C1821"/>
    <w:rsid w:val="007C2B60"/>
    <w:rsid w:val="007C2FFB"/>
    <w:rsid w:val="007C3537"/>
    <w:rsid w:val="007C598D"/>
    <w:rsid w:val="007C61D5"/>
    <w:rsid w:val="007C6460"/>
    <w:rsid w:val="007C74A7"/>
    <w:rsid w:val="007C7C80"/>
    <w:rsid w:val="007D0E13"/>
    <w:rsid w:val="007D347A"/>
    <w:rsid w:val="007D3F76"/>
    <w:rsid w:val="007D3F99"/>
    <w:rsid w:val="007D44F0"/>
    <w:rsid w:val="007D45F1"/>
    <w:rsid w:val="007D4BB1"/>
    <w:rsid w:val="007D4E6A"/>
    <w:rsid w:val="007D690E"/>
    <w:rsid w:val="007D71E3"/>
    <w:rsid w:val="007D7208"/>
    <w:rsid w:val="007E1C2B"/>
    <w:rsid w:val="007E222A"/>
    <w:rsid w:val="007E308E"/>
    <w:rsid w:val="007E4A26"/>
    <w:rsid w:val="007E582D"/>
    <w:rsid w:val="007E5B04"/>
    <w:rsid w:val="007E66D4"/>
    <w:rsid w:val="007F1E67"/>
    <w:rsid w:val="007F3257"/>
    <w:rsid w:val="007F3D20"/>
    <w:rsid w:val="007F5394"/>
    <w:rsid w:val="007F60A8"/>
    <w:rsid w:val="007F7330"/>
    <w:rsid w:val="0080046D"/>
    <w:rsid w:val="00801EB8"/>
    <w:rsid w:val="00804698"/>
    <w:rsid w:val="008047C6"/>
    <w:rsid w:val="00804E1D"/>
    <w:rsid w:val="0080655F"/>
    <w:rsid w:val="00807D5B"/>
    <w:rsid w:val="0081081B"/>
    <w:rsid w:val="00810A4B"/>
    <w:rsid w:val="00810E4D"/>
    <w:rsid w:val="008117C3"/>
    <w:rsid w:val="00811935"/>
    <w:rsid w:val="0081235D"/>
    <w:rsid w:val="00817D02"/>
    <w:rsid w:val="00821087"/>
    <w:rsid w:val="00821F87"/>
    <w:rsid w:val="00822F9F"/>
    <w:rsid w:val="00830D3F"/>
    <w:rsid w:val="00833082"/>
    <w:rsid w:val="00833BDB"/>
    <w:rsid w:val="008340CD"/>
    <w:rsid w:val="00834F2D"/>
    <w:rsid w:val="00835BFB"/>
    <w:rsid w:val="00836038"/>
    <w:rsid w:val="00837123"/>
    <w:rsid w:val="008374B8"/>
    <w:rsid w:val="00842108"/>
    <w:rsid w:val="00842C40"/>
    <w:rsid w:val="00843E54"/>
    <w:rsid w:val="00847298"/>
    <w:rsid w:val="00847EFF"/>
    <w:rsid w:val="008506C4"/>
    <w:rsid w:val="00853613"/>
    <w:rsid w:val="00854A98"/>
    <w:rsid w:val="0085505D"/>
    <w:rsid w:val="00855C93"/>
    <w:rsid w:val="008560DB"/>
    <w:rsid w:val="0085643B"/>
    <w:rsid w:val="00857DE2"/>
    <w:rsid w:val="00857E8B"/>
    <w:rsid w:val="0086108D"/>
    <w:rsid w:val="008646D7"/>
    <w:rsid w:val="00864CDC"/>
    <w:rsid w:val="00867F86"/>
    <w:rsid w:val="00871213"/>
    <w:rsid w:val="00871618"/>
    <w:rsid w:val="00871BFC"/>
    <w:rsid w:val="00872418"/>
    <w:rsid w:val="00872C56"/>
    <w:rsid w:val="008748A6"/>
    <w:rsid w:val="00875B03"/>
    <w:rsid w:val="00876C8E"/>
    <w:rsid w:val="00880354"/>
    <w:rsid w:val="00882183"/>
    <w:rsid w:val="00884FF3"/>
    <w:rsid w:val="00886818"/>
    <w:rsid w:val="00887144"/>
    <w:rsid w:val="008909B3"/>
    <w:rsid w:val="0089170B"/>
    <w:rsid w:val="0089181E"/>
    <w:rsid w:val="00893743"/>
    <w:rsid w:val="008940CA"/>
    <w:rsid w:val="008965FA"/>
    <w:rsid w:val="0089707B"/>
    <w:rsid w:val="008A048B"/>
    <w:rsid w:val="008A1CA5"/>
    <w:rsid w:val="008A2936"/>
    <w:rsid w:val="008A29AA"/>
    <w:rsid w:val="008A7B17"/>
    <w:rsid w:val="008A7BCA"/>
    <w:rsid w:val="008B0383"/>
    <w:rsid w:val="008B03DC"/>
    <w:rsid w:val="008B3BE2"/>
    <w:rsid w:val="008B427A"/>
    <w:rsid w:val="008B47FA"/>
    <w:rsid w:val="008B533D"/>
    <w:rsid w:val="008B7A9E"/>
    <w:rsid w:val="008C036E"/>
    <w:rsid w:val="008C05EC"/>
    <w:rsid w:val="008C2923"/>
    <w:rsid w:val="008C3E02"/>
    <w:rsid w:val="008C4325"/>
    <w:rsid w:val="008C5513"/>
    <w:rsid w:val="008C5B68"/>
    <w:rsid w:val="008C6CBC"/>
    <w:rsid w:val="008C6E0E"/>
    <w:rsid w:val="008C7242"/>
    <w:rsid w:val="008D0498"/>
    <w:rsid w:val="008D0A9C"/>
    <w:rsid w:val="008D124F"/>
    <w:rsid w:val="008D2B4D"/>
    <w:rsid w:val="008D2EE6"/>
    <w:rsid w:val="008D4255"/>
    <w:rsid w:val="008D5E7E"/>
    <w:rsid w:val="008D71E9"/>
    <w:rsid w:val="008E04C4"/>
    <w:rsid w:val="008E2648"/>
    <w:rsid w:val="008E3136"/>
    <w:rsid w:val="008E3305"/>
    <w:rsid w:val="008E3982"/>
    <w:rsid w:val="008E3ABC"/>
    <w:rsid w:val="008E433D"/>
    <w:rsid w:val="008E4688"/>
    <w:rsid w:val="008E50F6"/>
    <w:rsid w:val="008E662D"/>
    <w:rsid w:val="008F181B"/>
    <w:rsid w:val="008F69C5"/>
    <w:rsid w:val="008F7EA3"/>
    <w:rsid w:val="00900ED1"/>
    <w:rsid w:val="009012D9"/>
    <w:rsid w:val="00902033"/>
    <w:rsid w:val="00902093"/>
    <w:rsid w:val="00903BF3"/>
    <w:rsid w:val="00903DCC"/>
    <w:rsid w:val="0090429D"/>
    <w:rsid w:val="00906C2D"/>
    <w:rsid w:val="009076F6"/>
    <w:rsid w:val="00910678"/>
    <w:rsid w:val="009106D2"/>
    <w:rsid w:val="00910C9B"/>
    <w:rsid w:val="00910DBE"/>
    <w:rsid w:val="009110C4"/>
    <w:rsid w:val="00911E74"/>
    <w:rsid w:val="00912440"/>
    <w:rsid w:val="00912FB2"/>
    <w:rsid w:val="00914021"/>
    <w:rsid w:val="00917ABC"/>
    <w:rsid w:val="0092054B"/>
    <w:rsid w:val="0092128B"/>
    <w:rsid w:val="00921839"/>
    <w:rsid w:val="00921AB9"/>
    <w:rsid w:val="009223FB"/>
    <w:rsid w:val="00922693"/>
    <w:rsid w:val="00922833"/>
    <w:rsid w:val="00924415"/>
    <w:rsid w:val="00924A67"/>
    <w:rsid w:val="0092537E"/>
    <w:rsid w:val="00925616"/>
    <w:rsid w:val="009263DE"/>
    <w:rsid w:val="00926B74"/>
    <w:rsid w:val="009270B7"/>
    <w:rsid w:val="00927610"/>
    <w:rsid w:val="00927A00"/>
    <w:rsid w:val="00930BC8"/>
    <w:rsid w:val="00931110"/>
    <w:rsid w:val="00934BFE"/>
    <w:rsid w:val="009373E1"/>
    <w:rsid w:val="00937689"/>
    <w:rsid w:val="009423D3"/>
    <w:rsid w:val="00943C6F"/>
    <w:rsid w:val="009456C8"/>
    <w:rsid w:val="00945DA9"/>
    <w:rsid w:val="0094710D"/>
    <w:rsid w:val="00947AC0"/>
    <w:rsid w:val="009514CB"/>
    <w:rsid w:val="00955BB2"/>
    <w:rsid w:val="009606D4"/>
    <w:rsid w:val="0096131E"/>
    <w:rsid w:val="009615B7"/>
    <w:rsid w:val="00961DA1"/>
    <w:rsid w:val="009626AB"/>
    <w:rsid w:val="009636B6"/>
    <w:rsid w:val="00966632"/>
    <w:rsid w:val="0097104D"/>
    <w:rsid w:val="0097153D"/>
    <w:rsid w:val="00972038"/>
    <w:rsid w:val="00972071"/>
    <w:rsid w:val="00972857"/>
    <w:rsid w:val="00974567"/>
    <w:rsid w:val="0097460C"/>
    <w:rsid w:val="00976DDC"/>
    <w:rsid w:val="00983403"/>
    <w:rsid w:val="00983AFF"/>
    <w:rsid w:val="009860E1"/>
    <w:rsid w:val="009869E1"/>
    <w:rsid w:val="009872CA"/>
    <w:rsid w:val="009874F8"/>
    <w:rsid w:val="00990EF1"/>
    <w:rsid w:val="009939A0"/>
    <w:rsid w:val="00996C02"/>
    <w:rsid w:val="009A0571"/>
    <w:rsid w:val="009A0C0F"/>
    <w:rsid w:val="009A0FF2"/>
    <w:rsid w:val="009A18E9"/>
    <w:rsid w:val="009A2486"/>
    <w:rsid w:val="009A3270"/>
    <w:rsid w:val="009A58D2"/>
    <w:rsid w:val="009A6023"/>
    <w:rsid w:val="009A68D9"/>
    <w:rsid w:val="009B1CCB"/>
    <w:rsid w:val="009B1DCC"/>
    <w:rsid w:val="009B3074"/>
    <w:rsid w:val="009B3E8B"/>
    <w:rsid w:val="009B4285"/>
    <w:rsid w:val="009B4C6C"/>
    <w:rsid w:val="009B53FC"/>
    <w:rsid w:val="009B5BDD"/>
    <w:rsid w:val="009B6F97"/>
    <w:rsid w:val="009C08AB"/>
    <w:rsid w:val="009C1F57"/>
    <w:rsid w:val="009C2C42"/>
    <w:rsid w:val="009C6A57"/>
    <w:rsid w:val="009C75D1"/>
    <w:rsid w:val="009C7DD5"/>
    <w:rsid w:val="009D0846"/>
    <w:rsid w:val="009D08A2"/>
    <w:rsid w:val="009D17A3"/>
    <w:rsid w:val="009D1EE4"/>
    <w:rsid w:val="009D24FB"/>
    <w:rsid w:val="009D3DCB"/>
    <w:rsid w:val="009D5228"/>
    <w:rsid w:val="009D594D"/>
    <w:rsid w:val="009D6018"/>
    <w:rsid w:val="009D7FE2"/>
    <w:rsid w:val="009E0F86"/>
    <w:rsid w:val="009E3641"/>
    <w:rsid w:val="009E3F77"/>
    <w:rsid w:val="009E53C8"/>
    <w:rsid w:val="009E5ED7"/>
    <w:rsid w:val="009E60BE"/>
    <w:rsid w:val="009E6A41"/>
    <w:rsid w:val="009E6AB6"/>
    <w:rsid w:val="009E78D5"/>
    <w:rsid w:val="009F1572"/>
    <w:rsid w:val="009F2049"/>
    <w:rsid w:val="009F3C38"/>
    <w:rsid w:val="009F6178"/>
    <w:rsid w:val="009F64C6"/>
    <w:rsid w:val="009F70A2"/>
    <w:rsid w:val="00A0118A"/>
    <w:rsid w:val="00A04CB8"/>
    <w:rsid w:val="00A0597E"/>
    <w:rsid w:val="00A11570"/>
    <w:rsid w:val="00A12F48"/>
    <w:rsid w:val="00A150B3"/>
    <w:rsid w:val="00A1635C"/>
    <w:rsid w:val="00A166D0"/>
    <w:rsid w:val="00A20B79"/>
    <w:rsid w:val="00A22126"/>
    <w:rsid w:val="00A22253"/>
    <w:rsid w:val="00A231C7"/>
    <w:rsid w:val="00A23ABA"/>
    <w:rsid w:val="00A240E5"/>
    <w:rsid w:val="00A244EE"/>
    <w:rsid w:val="00A24707"/>
    <w:rsid w:val="00A251EB"/>
    <w:rsid w:val="00A258D9"/>
    <w:rsid w:val="00A27E08"/>
    <w:rsid w:val="00A303C5"/>
    <w:rsid w:val="00A30F50"/>
    <w:rsid w:val="00A31068"/>
    <w:rsid w:val="00A3128E"/>
    <w:rsid w:val="00A3224F"/>
    <w:rsid w:val="00A3305A"/>
    <w:rsid w:val="00A33140"/>
    <w:rsid w:val="00A333C7"/>
    <w:rsid w:val="00A33CBE"/>
    <w:rsid w:val="00A35432"/>
    <w:rsid w:val="00A36AB2"/>
    <w:rsid w:val="00A37829"/>
    <w:rsid w:val="00A40969"/>
    <w:rsid w:val="00A41065"/>
    <w:rsid w:val="00A42266"/>
    <w:rsid w:val="00A4311E"/>
    <w:rsid w:val="00A4364C"/>
    <w:rsid w:val="00A43AFA"/>
    <w:rsid w:val="00A43BF0"/>
    <w:rsid w:val="00A43D17"/>
    <w:rsid w:val="00A4411B"/>
    <w:rsid w:val="00A45F18"/>
    <w:rsid w:val="00A47130"/>
    <w:rsid w:val="00A478A1"/>
    <w:rsid w:val="00A50DB3"/>
    <w:rsid w:val="00A5164C"/>
    <w:rsid w:val="00A51880"/>
    <w:rsid w:val="00A5245E"/>
    <w:rsid w:val="00A52A3C"/>
    <w:rsid w:val="00A532EC"/>
    <w:rsid w:val="00A54F84"/>
    <w:rsid w:val="00A55AAE"/>
    <w:rsid w:val="00A5639F"/>
    <w:rsid w:val="00A57699"/>
    <w:rsid w:val="00A5792A"/>
    <w:rsid w:val="00A57E5F"/>
    <w:rsid w:val="00A60DAD"/>
    <w:rsid w:val="00A612EF"/>
    <w:rsid w:val="00A62695"/>
    <w:rsid w:val="00A63AB2"/>
    <w:rsid w:val="00A6433E"/>
    <w:rsid w:val="00A64BB4"/>
    <w:rsid w:val="00A65B50"/>
    <w:rsid w:val="00A66E01"/>
    <w:rsid w:val="00A67B12"/>
    <w:rsid w:val="00A703F3"/>
    <w:rsid w:val="00A7097C"/>
    <w:rsid w:val="00A724CA"/>
    <w:rsid w:val="00A72F02"/>
    <w:rsid w:val="00A7444C"/>
    <w:rsid w:val="00A745A2"/>
    <w:rsid w:val="00A747E3"/>
    <w:rsid w:val="00A80C70"/>
    <w:rsid w:val="00A861A4"/>
    <w:rsid w:val="00A871F0"/>
    <w:rsid w:val="00A87386"/>
    <w:rsid w:val="00A907C1"/>
    <w:rsid w:val="00A915C9"/>
    <w:rsid w:val="00A92D58"/>
    <w:rsid w:val="00A933E5"/>
    <w:rsid w:val="00A94EDA"/>
    <w:rsid w:val="00A95A73"/>
    <w:rsid w:val="00A969C6"/>
    <w:rsid w:val="00A969CE"/>
    <w:rsid w:val="00AA0B2B"/>
    <w:rsid w:val="00AA1EBB"/>
    <w:rsid w:val="00AA2E68"/>
    <w:rsid w:val="00AA3292"/>
    <w:rsid w:val="00AA40D9"/>
    <w:rsid w:val="00AA7675"/>
    <w:rsid w:val="00AB02E4"/>
    <w:rsid w:val="00AB1448"/>
    <w:rsid w:val="00AB1A3C"/>
    <w:rsid w:val="00AB1DE2"/>
    <w:rsid w:val="00AB41C7"/>
    <w:rsid w:val="00AB4317"/>
    <w:rsid w:val="00AB4A7F"/>
    <w:rsid w:val="00AB4A93"/>
    <w:rsid w:val="00AB5332"/>
    <w:rsid w:val="00AB7A2D"/>
    <w:rsid w:val="00AC5E5D"/>
    <w:rsid w:val="00AC6915"/>
    <w:rsid w:val="00AD1876"/>
    <w:rsid w:val="00AD24B1"/>
    <w:rsid w:val="00AD316C"/>
    <w:rsid w:val="00AD3726"/>
    <w:rsid w:val="00AD54D1"/>
    <w:rsid w:val="00AD6556"/>
    <w:rsid w:val="00AD7C87"/>
    <w:rsid w:val="00AE1C6E"/>
    <w:rsid w:val="00AE35D1"/>
    <w:rsid w:val="00AE36EF"/>
    <w:rsid w:val="00AE4A2A"/>
    <w:rsid w:val="00AE5757"/>
    <w:rsid w:val="00AE785D"/>
    <w:rsid w:val="00AE78E3"/>
    <w:rsid w:val="00AF2648"/>
    <w:rsid w:val="00AF3519"/>
    <w:rsid w:val="00AF3E5A"/>
    <w:rsid w:val="00AF4EE7"/>
    <w:rsid w:val="00AF68B3"/>
    <w:rsid w:val="00AF7010"/>
    <w:rsid w:val="00B00054"/>
    <w:rsid w:val="00B00198"/>
    <w:rsid w:val="00B03185"/>
    <w:rsid w:val="00B03442"/>
    <w:rsid w:val="00B03785"/>
    <w:rsid w:val="00B03D11"/>
    <w:rsid w:val="00B0511C"/>
    <w:rsid w:val="00B07119"/>
    <w:rsid w:val="00B07FBB"/>
    <w:rsid w:val="00B1143E"/>
    <w:rsid w:val="00B11710"/>
    <w:rsid w:val="00B12267"/>
    <w:rsid w:val="00B157D4"/>
    <w:rsid w:val="00B166A8"/>
    <w:rsid w:val="00B16A34"/>
    <w:rsid w:val="00B16CE9"/>
    <w:rsid w:val="00B223F8"/>
    <w:rsid w:val="00B23DAF"/>
    <w:rsid w:val="00B2425C"/>
    <w:rsid w:val="00B24433"/>
    <w:rsid w:val="00B2659C"/>
    <w:rsid w:val="00B276F2"/>
    <w:rsid w:val="00B27A86"/>
    <w:rsid w:val="00B30520"/>
    <w:rsid w:val="00B305E7"/>
    <w:rsid w:val="00B30A24"/>
    <w:rsid w:val="00B32E88"/>
    <w:rsid w:val="00B33057"/>
    <w:rsid w:val="00B33072"/>
    <w:rsid w:val="00B3422F"/>
    <w:rsid w:val="00B3557B"/>
    <w:rsid w:val="00B355A8"/>
    <w:rsid w:val="00B36595"/>
    <w:rsid w:val="00B36C23"/>
    <w:rsid w:val="00B37082"/>
    <w:rsid w:val="00B37B58"/>
    <w:rsid w:val="00B41E61"/>
    <w:rsid w:val="00B41F46"/>
    <w:rsid w:val="00B421AB"/>
    <w:rsid w:val="00B442A3"/>
    <w:rsid w:val="00B455CC"/>
    <w:rsid w:val="00B4585A"/>
    <w:rsid w:val="00B46B1F"/>
    <w:rsid w:val="00B46E41"/>
    <w:rsid w:val="00B506BD"/>
    <w:rsid w:val="00B51445"/>
    <w:rsid w:val="00B516E0"/>
    <w:rsid w:val="00B5455B"/>
    <w:rsid w:val="00B54566"/>
    <w:rsid w:val="00B54C8F"/>
    <w:rsid w:val="00B55221"/>
    <w:rsid w:val="00B55698"/>
    <w:rsid w:val="00B559E5"/>
    <w:rsid w:val="00B55B9C"/>
    <w:rsid w:val="00B5610A"/>
    <w:rsid w:val="00B56B0F"/>
    <w:rsid w:val="00B57CA1"/>
    <w:rsid w:val="00B57DFA"/>
    <w:rsid w:val="00B57ECC"/>
    <w:rsid w:val="00B608B9"/>
    <w:rsid w:val="00B611DC"/>
    <w:rsid w:val="00B6175B"/>
    <w:rsid w:val="00B62C2F"/>
    <w:rsid w:val="00B62D78"/>
    <w:rsid w:val="00B63691"/>
    <w:rsid w:val="00B637B2"/>
    <w:rsid w:val="00B64E18"/>
    <w:rsid w:val="00B66C6D"/>
    <w:rsid w:val="00B6737A"/>
    <w:rsid w:val="00B6799C"/>
    <w:rsid w:val="00B70257"/>
    <w:rsid w:val="00B702F8"/>
    <w:rsid w:val="00B7101B"/>
    <w:rsid w:val="00B7103C"/>
    <w:rsid w:val="00B72C39"/>
    <w:rsid w:val="00B755B8"/>
    <w:rsid w:val="00B756CA"/>
    <w:rsid w:val="00B75F87"/>
    <w:rsid w:val="00B77DB9"/>
    <w:rsid w:val="00B8096F"/>
    <w:rsid w:val="00B80B83"/>
    <w:rsid w:val="00B81116"/>
    <w:rsid w:val="00B8199A"/>
    <w:rsid w:val="00B81C8B"/>
    <w:rsid w:val="00B81E20"/>
    <w:rsid w:val="00B81EB3"/>
    <w:rsid w:val="00B82046"/>
    <w:rsid w:val="00B832FD"/>
    <w:rsid w:val="00B84393"/>
    <w:rsid w:val="00B855D6"/>
    <w:rsid w:val="00B8570D"/>
    <w:rsid w:val="00B864DE"/>
    <w:rsid w:val="00B865F9"/>
    <w:rsid w:val="00B868A5"/>
    <w:rsid w:val="00B86B0B"/>
    <w:rsid w:val="00B920AD"/>
    <w:rsid w:val="00B92E84"/>
    <w:rsid w:val="00B933AB"/>
    <w:rsid w:val="00B94AE8"/>
    <w:rsid w:val="00B94B83"/>
    <w:rsid w:val="00B9646B"/>
    <w:rsid w:val="00B96F8C"/>
    <w:rsid w:val="00BA16E8"/>
    <w:rsid w:val="00BA6269"/>
    <w:rsid w:val="00BB0260"/>
    <w:rsid w:val="00BB0300"/>
    <w:rsid w:val="00BB1AE8"/>
    <w:rsid w:val="00BB336B"/>
    <w:rsid w:val="00BB346E"/>
    <w:rsid w:val="00BB380A"/>
    <w:rsid w:val="00BB3BB6"/>
    <w:rsid w:val="00BB655D"/>
    <w:rsid w:val="00BB68B9"/>
    <w:rsid w:val="00BC0A89"/>
    <w:rsid w:val="00BC104E"/>
    <w:rsid w:val="00BC412E"/>
    <w:rsid w:val="00BD2FCB"/>
    <w:rsid w:val="00BD324E"/>
    <w:rsid w:val="00BD4F29"/>
    <w:rsid w:val="00BD500F"/>
    <w:rsid w:val="00BD6436"/>
    <w:rsid w:val="00BD6888"/>
    <w:rsid w:val="00BE0B4B"/>
    <w:rsid w:val="00BE1A75"/>
    <w:rsid w:val="00BE2573"/>
    <w:rsid w:val="00BE2841"/>
    <w:rsid w:val="00BE2A95"/>
    <w:rsid w:val="00BE4314"/>
    <w:rsid w:val="00BE6420"/>
    <w:rsid w:val="00BE778F"/>
    <w:rsid w:val="00BE7D68"/>
    <w:rsid w:val="00BF0922"/>
    <w:rsid w:val="00BF16A2"/>
    <w:rsid w:val="00BF17D9"/>
    <w:rsid w:val="00BF311F"/>
    <w:rsid w:val="00BF5A16"/>
    <w:rsid w:val="00BF7262"/>
    <w:rsid w:val="00C020AF"/>
    <w:rsid w:val="00C02F4E"/>
    <w:rsid w:val="00C03111"/>
    <w:rsid w:val="00C03903"/>
    <w:rsid w:val="00C03C29"/>
    <w:rsid w:val="00C05CD0"/>
    <w:rsid w:val="00C06295"/>
    <w:rsid w:val="00C0671D"/>
    <w:rsid w:val="00C069B0"/>
    <w:rsid w:val="00C07905"/>
    <w:rsid w:val="00C10C0E"/>
    <w:rsid w:val="00C11727"/>
    <w:rsid w:val="00C11D06"/>
    <w:rsid w:val="00C13550"/>
    <w:rsid w:val="00C138AC"/>
    <w:rsid w:val="00C144CE"/>
    <w:rsid w:val="00C146AB"/>
    <w:rsid w:val="00C149C8"/>
    <w:rsid w:val="00C16028"/>
    <w:rsid w:val="00C16945"/>
    <w:rsid w:val="00C16DA8"/>
    <w:rsid w:val="00C17F06"/>
    <w:rsid w:val="00C21778"/>
    <w:rsid w:val="00C22AD6"/>
    <w:rsid w:val="00C23C95"/>
    <w:rsid w:val="00C242D6"/>
    <w:rsid w:val="00C2491F"/>
    <w:rsid w:val="00C31DF1"/>
    <w:rsid w:val="00C31F69"/>
    <w:rsid w:val="00C34D37"/>
    <w:rsid w:val="00C3502E"/>
    <w:rsid w:val="00C3504D"/>
    <w:rsid w:val="00C359B1"/>
    <w:rsid w:val="00C3619E"/>
    <w:rsid w:val="00C40CD9"/>
    <w:rsid w:val="00C4189D"/>
    <w:rsid w:val="00C41BCC"/>
    <w:rsid w:val="00C4323C"/>
    <w:rsid w:val="00C4459C"/>
    <w:rsid w:val="00C47C4C"/>
    <w:rsid w:val="00C511F9"/>
    <w:rsid w:val="00C51E2A"/>
    <w:rsid w:val="00C52580"/>
    <w:rsid w:val="00C5419E"/>
    <w:rsid w:val="00C5425F"/>
    <w:rsid w:val="00C546ED"/>
    <w:rsid w:val="00C55295"/>
    <w:rsid w:val="00C56C16"/>
    <w:rsid w:val="00C57FCA"/>
    <w:rsid w:val="00C606A2"/>
    <w:rsid w:val="00C61753"/>
    <w:rsid w:val="00C620EE"/>
    <w:rsid w:val="00C6286A"/>
    <w:rsid w:val="00C651F1"/>
    <w:rsid w:val="00C65DD0"/>
    <w:rsid w:val="00C662EF"/>
    <w:rsid w:val="00C66DD7"/>
    <w:rsid w:val="00C672B3"/>
    <w:rsid w:val="00C70D18"/>
    <w:rsid w:val="00C71598"/>
    <w:rsid w:val="00C7174B"/>
    <w:rsid w:val="00C71EEA"/>
    <w:rsid w:val="00C731DD"/>
    <w:rsid w:val="00C733D3"/>
    <w:rsid w:val="00C74118"/>
    <w:rsid w:val="00C744B9"/>
    <w:rsid w:val="00C750E0"/>
    <w:rsid w:val="00C753C2"/>
    <w:rsid w:val="00C76F55"/>
    <w:rsid w:val="00C778E0"/>
    <w:rsid w:val="00C802B6"/>
    <w:rsid w:val="00C80C9F"/>
    <w:rsid w:val="00C80CAF"/>
    <w:rsid w:val="00C85D58"/>
    <w:rsid w:val="00C86222"/>
    <w:rsid w:val="00C86F29"/>
    <w:rsid w:val="00C8731E"/>
    <w:rsid w:val="00C92D53"/>
    <w:rsid w:val="00C92E03"/>
    <w:rsid w:val="00C93EFD"/>
    <w:rsid w:val="00C9422F"/>
    <w:rsid w:val="00C94693"/>
    <w:rsid w:val="00C95164"/>
    <w:rsid w:val="00C958BE"/>
    <w:rsid w:val="00C97662"/>
    <w:rsid w:val="00C97E73"/>
    <w:rsid w:val="00CA0759"/>
    <w:rsid w:val="00CA08FA"/>
    <w:rsid w:val="00CA24E1"/>
    <w:rsid w:val="00CA448A"/>
    <w:rsid w:val="00CA461F"/>
    <w:rsid w:val="00CA5EF5"/>
    <w:rsid w:val="00CA6FF0"/>
    <w:rsid w:val="00CA7A39"/>
    <w:rsid w:val="00CB074D"/>
    <w:rsid w:val="00CB1922"/>
    <w:rsid w:val="00CB3057"/>
    <w:rsid w:val="00CB54BF"/>
    <w:rsid w:val="00CB5BAE"/>
    <w:rsid w:val="00CB67EC"/>
    <w:rsid w:val="00CB75CB"/>
    <w:rsid w:val="00CB76B5"/>
    <w:rsid w:val="00CB79CD"/>
    <w:rsid w:val="00CC21B1"/>
    <w:rsid w:val="00CC275B"/>
    <w:rsid w:val="00CC309B"/>
    <w:rsid w:val="00CC66FD"/>
    <w:rsid w:val="00CC7FE1"/>
    <w:rsid w:val="00CD03F8"/>
    <w:rsid w:val="00CD10A2"/>
    <w:rsid w:val="00CD173E"/>
    <w:rsid w:val="00CD2131"/>
    <w:rsid w:val="00CD21AF"/>
    <w:rsid w:val="00CD23D9"/>
    <w:rsid w:val="00CD3F88"/>
    <w:rsid w:val="00CD402B"/>
    <w:rsid w:val="00CD41C7"/>
    <w:rsid w:val="00CD5158"/>
    <w:rsid w:val="00CD5783"/>
    <w:rsid w:val="00CD5958"/>
    <w:rsid w:val="00CE2570"/>
    <w:rsid w:val="00CE3241"/>
    <w:rsid w:val="00CE543A"/>
    <w:rsid w:val="00CE6C3F"/>
    <w:rsid w:val="00CF14D9"/>
    <w:rsid w:val="00CF2877"/>
    <w:rsid w:val="00CF5AC9"/>
    <w:rsid w:val="00CF7E76"/>
    <w:rsid w:val="00D00012"/>
    <w:rsid w:val="00D00EE3"/>
    <w:rsid w:val="00D01244"/>
    <w:rsid w:val="00D028B6"/>
    <w:rsid w:val="00D02D2E"/>
    <w:rsid w:val="00D03A9F"/>
    <w:rsid w:val="00D03DDB"/>
    <w:rsid w:val="00D041FF"/>
    <w:rsid w:val="00D04DF0"/>
    <w:rsid w:val="00D06365"/>
    <w:rsid w:val="00D10DEE"/>
    <w:rsid w:val="00D11C4F"/>
    <w:rsid w:val="00D13066"/>
    <w:rsid w:val="00D153B3"/>
    <w:rsid w:val="00D15431"/>
    <w:rsid w:val="00D16BD8"/>
    <w:rsid w:val="00D17BD2"/>
    <w:rsid w:val="00D210B3"/>
    <w:rsid w:val="00D23843"/>
    <w:rsid w:val="00D23ADF"/>
    <w:rsid w:val="00D24055"/>
    <w:rsid w:val="00D25999"/>
    <w:rsid w:val="00D26484"/>
    <w:rsid w:val="00D26ABB"/>
    <w:rsid w:val="00D270BC"/>
    <w:rsid w:val="00D27E72"/>
    <w:rsid w:val="00D309DE"/>
    <w:rsid w:val="00D31F95"/>
    <w:rsid w:val="00D3254D"/>
    <w:rsid w:val="00D3346B"/>
    <w:rsid w:val="00D33F93"/>
    <w:rsid w:val="00D34D2C"/>
    <w:rsid w:val="00D34D75"/>
    <w:rsid w:val="00D3606D"/>
    <w:rsid w:val="00D36DB0"/>
    <w:rsid w:val="00D3766B"/>
    <w:rsid w:val="00D37B7B"/>
    <w:rsid w:val="00D415FF"/>
    <w:rsid w:val="00D429D5"/>
    <w:rsid w:val="00D44A4D"/>
    <w:rsid w:val="00D44F67"/>
    <w:rsid w:val="00D46AB4"/>
    <w:rsid w:val="00D50517"/>
    <w:rsid w:val="00D50E1B"/>
    <w:rsid w:val="00D5109C"/>
    <w:rsid w:val="00D51B7B"/>
    <w:rsid w:val="00D53DBE"/>
    <w:rsid w:val="00D55A88"/>
    <w:rsid w:val="00D56006"/>
    <w:rsid w:val="00D5702E"/>
    <w:rsid w:val="00D60B5C"/>
    <w:rsid w:val="00D61F7D"/>
    <w:rsid w:val="00D6362F"/>
    <w:rsid w:val="00D63FE9"/>
    <w:rsid w:val="00D65A34"/>
    <w:rsid w:val="00D662DB"/>
    <w:rsid w:val="00D66F2F"/>
    <w:rsid w:val="00D70147"/>
    <w:rsid w:val="00D70CAB"/>
    <w:rsid w:val="00D7118D"/>
    <w:rsid w:val="00D732FB"/>
    <w:rsid w:val="00D75A21"/>
    <w:rsid w:val="00D760A5"/>
    <w:rsid w:val="00D776C6"/>
    <w:rsid w:val="00D81452"/>
    <w:rsid w:val="00D81B23"/>
    <w:rsid w:val="00D82413"/>
    <w:rsid w:val="00D834DB"/>
    <w:rsid w:val="00D83DCC"/>
    <w:rsid w:val="00D83EB3"/>
    <w:rsid w:val="00D845FC"/>
    <w:rsid w:val="00D84764"/>
    <w:rsid w:val="00D850CB"/>
    <w:rsid w:val="00D85255"/>
    <w:rsid w:val="00D85449"/>
    <w:rsid w:val="00D85A7D"/>
    <w:rsid w:val="00D86611"/>
    <w:rsid w:val="00D868BB"/>
    <w:rsid w:val="00D86E25"/>
    <w:rsid w:val="00D87260"/>
    <w:rsid w:val="00D916B2"/>
    <w:rsid w:val="00D918F2"/>
    <w:rsid w:val="00D9199A"/>
    <w:rsid w:val="00D92DCD"/>
    <w:rsid w:val="00D93E3D"/>
    <w:rsid w:val="00D94BE1"/>
    <w:rsid w:val="00D94C54"/>
    <w:rsid w:val="00D94E40"/>
    <w:rsid w:val="00D957B1"/>
    <w:rsid w:val="00D96ED6"/>
    <w:rsid w:val="00D97BE7"/>
    <w:rsid w:val="00DA01DF"/>
    <w:rsid w:val="00DA1E21"/>
    <w:rsid w:val="00DA2001"/>
    <w:rsid w:val="00DA2529"/>
    <w:rsid w:val="00DA2F32"/>
    <w:rsid w:val="00DA5B1C"/>
    <w:rsid w:val="00DA641F"/>
    <w:rsid w:val="00DA7633"/>
    <w:rsid w:val="00DA775E"/>
    <w:rsid w:val="00DB04A5"/>
    <w:rsid w:val="00DB09B4"/>
    <w:rsid w:val="00DB2E7C"/>
    <w:rsid w:val="00DB38B6"/>
    <w:rsid w:val="00DB4852"/>
    <w:rsid w:val="00DB4969"/>
    <w:rsid w:val="00DB5770"/>
    <w:rsid w:val="00DB5B3A"/>
    <w:rsid w:val="00DB6E3A"/>
    <w:rsid w:val="00DB7995"/>
    <w:rsid w:val="00DC05AE"/>
    <w:rsid w:val="00DC132C"/>
    <w:rsid w:val="00DC251A"/>
    <w:rsid w:val="00DC467E"/>
    <w:rsid w:val="00DC4FB2"/>
    <w:rsid w:val="00DC5A98"/>
    <w:rsid w:val="00DC5AEB"/>
    <w:rsid w:val="00DC5DA7"/>
    <w:rsid w:val="00DC64C3"/>
    <w:rsid w:val="00DC6AD0"/>
    <w:rsid w:val="00DD02F2"/>
    <w:rsid w:val="00DD09E3"/>
    <w:rsid w:val="00DD1315"/>
    <w:rsid w:val="00DD1BE9"/>
    <w:rsid w:val="00DD26FD"/>
    <w:rsid w:val="00DD3AE5"/>
    <w:rsid w:val="00DD43A9"/>
    <w:rsid w:val="00DD4CA8"/>
    <w:rsid w:val="00DD4F43"/>
    <w:rsid w:val="00DD5058"/>
    <w:rsid w:val="00DD5B9C"/>
    <w:rsid w:val="00DD5DD5"/>
    <w:rsid w:val="00DD600E"/>
    <w:rsid w:val="00DE0A81"/>
    <w:rsid w:val="00DE2D21"/>
    <w:rsid w:val="00DE30C6"/>
    <w:rsid w:val="00DE4960"/>
    <w:rsid w:val="00DE49F6"/>
    <w:rsid w:val="00DE52B5"/>
    <w:rsid w:val="00DE5B2C"/>
    <w:rsid w:val="00DE5EF2"/>
    <w:rsid w:val="00DE60D5"/>
    <w:rsid w:val="00DE65A2"/>
    <w:rsid w:val="00DE6DAA"/>
    <w:rsid w:val="00DE700B"/>
    <w:rsid w:val="00DE76CA"/>
    <w:rsid w:val="00DE7950"/>
    <w:rsid w:val="00DF00E8"/>
    <w:rsid w:val="00DF01CC"/>
    <w:rsid w:val="00DF150D"/>
    <w:rsid w:val="00DF2232"/>
    <w:rsid w:val="00DF264F"/>
    <w:rsid w:val="00DF30AE"/>
    <w:rsid w:val="00DF4D5C"/>
    <w:rsid w:val="00E04A7C"/>
    <w:rsid w:val="00E05DED"/>
    <w:rsid w:val="00E10F8C"/>
    <w:rsid w:val="00E1283F"/>
    <w:rsid w:val="00E13B27"/>
    <w:rsid w:val="00E13D4A"/>
    <w:rsid w:val="00E162B3"/>
    <w:rsid w:val="00E16A8E"/>
    <w:rsid w:val="00E16EF1"/>
    <w:rsid w:val="00E20184"/>
    <w:rsid w:val="00E20718"/>
    <w:rsid w:val="00E20A62"/>
    <w:rsid w:val="00E22320"/>
    <w:rsid w:val="00E232AD"/>
    <w:rsid w:val="00E2434C"/>
    <w:rsid w:val="00E251B1"/>
    <w:rsid w:val="00E31AC2"/>
    <w:rsid w:val="00E33080"/>
    <w:rsid w:val="00E33732"/>
    <w:rsid w:val="00E35A04"/>
    <w:rsid w:val="00E35E55"/>
    <w:rsid w:val="00E3743C"/>
    <w:rsid w:val="00E37D5C"/>
    <w:rsid w:val="00E415EC"/>
    <w:rsid w:val="00E415F5"/>
    <w:rsid w:val="00E42783"/>
    <w:rsid w:val="00E43402"/>
    <w:rsid w:val="00E44AD4"/>
    <w:rsid w:val="00E502A6"/>
    <w:rsid w:val="00E51784"/>
    <w:rsid w:val="00E52290"/>
    <w:rsid w:val="00E52BAC"/>
    <w:rsid w:val="00E53580"/>
    <w:rsid w:val="00E540AB"/>
    <w:rsid w:val="00E540B2"/>
    <w:rsid w:val="00E5427F"/>
    <w:rsid w:val="00E55BAA"/>
    <w:rsid w:val="00E574D5"/>
    <w:rsid w:val="00E57A64"/>
    <w:rsid w:val="00E6283A"/>
    <w:rsid w:val="00E65201"/>
    <w:rsid w:val="00E658AC"/>
    <w:rsid w:val="00E65965"/>
    <w:rsid w:val="00E66EED"/>
    <w:rsid w:val="00E6735F"/>
    <w:rsid w:val="00E70207"/>
    <w:rsid w:val="00E70A27"/>
    <w:rsid w:val="00E71D31"/>
    <w:rsid w:val="00E730D1"/>
    <w:rsid w:val="00E7412A"/>
    <w:rsid w:val="00E747D8"/>
    <w:rsid w:val="00E74D4D"/>
    <w:rsid w:val="00E75759"/>
    <w:rsid w:val="00E75D21"/>
    <w:rsid w:val="00E803FD"/>
    <w:rsid w:val="00E81817"/>
    <w:rsid w:val="00E842F7"/>
    <w:rsid w:val="00E8475E"/>
    <w:rsid w:val="00E85F2A"/>
    <w:rsid w:val="00E86735"/>
    <w:rsid w:val="00E925F5"/>
    <w:rsid w:val="00E95227"/>
    <w:rsid w:val="00E9550F"/>
    <w:rsid w:val="00E96499"/>
    <w:rsid w:val="00E96992"/>
    <w:rsid w:val="00E96BD8"/>
    <w:rsid w:val="00E96C80"/>
    <w:rsid w:val="00E9766B"/>
    <w:rsid w:val="00EA25B0"/>
    <w:rsid w:val="00EA54EE"/>
    <w:rsid w:val="00EA5E7A"/>
    <w:rsid w:val="00EB02A0"/>
    <w:rsid w:val="00EB0E11"/>
    <w:rsid w:val="00EB224C"/>
    <w:rsid w:val="00EB2561"/>
    <w:rsid w:val="00EB3117"/>
    <w:rsid w:val="00EB334F"/>
    <w:rsid w:val="00EB3A33"/>
    <w:rsid w:val="00EB3AAA"/>
    <w:rsid w:val="00EB5E6C"/>
    <w:rsid w:val="00EC0452"/>
    <w:rsid w:val="00EC1094"/>
    <w:rsid w:val="00EC18A6"/>
    <w:rsid w:val="00EC1CA7"/>
    <w:rsid w:val="00EC2777"/>
    <w:rsid w:val="00EC28B8"/>
    <w:rsid w:val="00EC3408"/>
    <w:rsid w:val="00EC3410"/>
    <w:rsid w:val="00EC4A07"/>
    <w:rsid w:val="00EC55C7"/>
    <w:rsid w:val="00EC57E5"/>
    <w:rsid w:val="00EC5F24"/>
    <w:rsid w:val="00ED032C"/>
    <w:rsid w:val="00ED091B"/>
    <w:rsid w:val="00ED1AC7"/>
    <w:rsid w:val="00ED5065"/>
    <w:rsid w:val="00ED62A0"/>
    <w:rsid w:val="00ED65F1"/>
    <w:rsid w:val="00ED72B4"/>
    <w:rsid w:val="00ED7C49"/>
    <w:rsid w:val="00EE37C3"/>
    <w:rsid w:val="00EE3896"/>
    <w:rsid w:val="00EE507D"/>
    <w:rsid w:val="00EE60B0"/>
    <w:rsid w:val="00EE66A6"/>
    <w:rsid w:val="00EF0BE2"/>
    <w:rsid w:val="00EF2AF8"/>
    <w:rsid w:val="00EF2D35"/>
    <w:rsid w:val="00EF3A0B"/>
    <w:rsid w:val="00EF49E6"/>
    <w:rsid w:val="00EF621E"/>
    <w:rsid w:val="00F0018C"/>
    <w:rsid w:val="00F00AB7"/>
    <w:rsid w:val="00F02F84"/>
    <w:rsid w:val="00F030B9"/>
    <w:rsid w:val="00F04274"/>
    <w:rsid w:val="00F053D9"/>
    <w:rsid w:val="00F0671B"/>
    <w:rsid w:val="00F110D7"/>
    <w:rsid w:val="00F11426"/>
    <w:rsid w:val="00F12493"/>
    <w:rsid w:val="00F13DAE"/>
    <w:rsid w:val="00F20111"/>
    <w:rsid w:val="00F2036E"/>
    <w:rsid w:val="00F239E0"/>
    <w:rsid w:val="00F23B41"/>
    <w:rsid w:val="00F24329"/>
    <w:rsid w:val="00F2459C"/>
    <w:rsid w:val="00F24D36"/>
    <w:rsid w:val="00F25BB1"/>
    <w:rsid w:val="00F265C3"/>
    <w:rsid w:val="00F27182"/>
    <w:rsid w:val="00F317FB"/>
    <w:rsid w:val="00F31A59"/>
    <w:rsid w:val="00F33CA9"/>
    <w:rsid w:val="00F36973"/>
    <w:rsid w:val="00F37B13"/>
    <w:rsid w:val="00F40A57"/>
    <w:rsid w:val="00F40C90"/>
    <w:rsid w:val="00F41EE1"/>
    <w:rsid w:val="00F427B5"/>
    <w:rsid w:val="00F42B35"/>
    <w:rsid w:val="00F42D38"/>
    <w:rsid w:val="00F449AE"/>
    <w:rsid w:val="00F4670A"/>
    <w:rsid w:val="00F477AB"/>
    <w:rsid w:val="00F504BC"/>
    <w:rsid w:val="00F504CF"/>
    <w:rsid w:val="00F50BD8"/>
    <w:rsid w:val="00F52B18"/>
    <w:rsid w:val="00F56001"/>
    <w:rsid w:val="00F57348"/>
    <w:rsid w:val="00F57EB6"/>
    <w:rsid w:val="00F601D0"/>
    <w:rsid w:val="00F62046"/>
    <w:rsid w:val="00F62C26"/>
    <w:rsid w:val="00F64448"/>
    <w:rsid w:val="00F6773D"/>
    <w:rsid w:val="00F70171"/>
    <w:rsid w:val="00F7182E"/>
    <w:rsid w:val="00F718B1"/>
    <w:rsid w:val="00F71BEC"/>
    <w:rsid w:val="00F72D0A"/>
    <w:rsid w:val="00F74EF5"/>
    <w:rsid w:val="00F75536"/>
    <w:rsid w:val="00F77604"/>
    <w:rsid w:val="00F81D85"/>
    <w:rsid w:val="00F8363B"/>
    <w:rsid w:val="00F83B36"/>
    <w:rsid w:val="00F87624"/>
    <w:rsid w:val="00F91E78"/>
    <w:rsid w:val="00F93354"/>
    <w:rsid w:val="00F937F0"/>
    <w:rsid w:val="00F94CEF"/>
    <w:rsid w:val="00F95283"/>
    <w:rsid w:val="00F976B2"/>
    <w:rsid w:val="00F979E3"/>
    <w:rsid w:val="00FA066F"/>
    <w:rsid w:val="00FA11E8"/>
    <w:rsid w:val="00FA1AE8"/>
    <w:rsid w:val="00FA39ED"/>
    <w:rsid w:val="00FA3B6F"/>
    <w:rsid w:val="00FA534E"/>
    <w:rsid w:val="00FA6684"/>
    <w:rsid w:val="00FA78FA"/>
    <w:rsid w:val="00FB0704"/>
    <w:rsid w:val="00FB2E14"/>
    <w:rsid w:val="00FB315A"/>
    <w:rsid w:val="00FB36EA"/>
    <w:rsid w:val="00FB3A47"/>
    <w:rsid w:val="00FB561F"/>
    <w:rsid w:val="00FB762D"/>
    <w:rsid w:val="00FC03EB"/>
    <w:rsid w:val="00FC15D3"/>
    <w:rsid w:val="00FC1AD8"/>
    <w:rsid w:val="00FC237D"/>
    <w:rsid w:val="00FC2FC1"/>
    <w:rsid w:val="00FC3544"/>
    <w:rsid w:val="00FC51A4"/>
    <w:rsid w:val="00FC5F3E"/>
    <w:rsid w:val="00FC617B"/>
    <w:rsid w:val="00FC65E4"/>
    <w:rsid w:val="00FC7E2E"/>
    <w:rsid w:val="00FD01D0"/>
    <w:rsid w:val="00FD0B63"/>
    <w:rsid w:val="00FD21DC"/>
    <w:rsid w:val="00FD36D5"/>
    <w:rsid w:val="00FD3D87"/>
    <w:rsid w:val="00FD4BAE"/>
    <w:rsid w:val="00FD4C02"/>
    <w:rsid w:val="00FD4E05"/>
    <w:rsid w:val="00FD5254"/>
    <w:rsid w:val="00FD6B6D"/>
    <w:rsid w:val="00FE06F1"/>
    <w:rsid w:val="00FE0A3E"/>
    <w:rsid w:val="00FE0E05"/>
    <w:rsid w:val="00FE34EF"/>
    <w:rsid w:val="00FE423E"/>
    <w:rsid w:val="00FE55B2"/>
    <w:rsid w:val="00FE6658"/>
    <w:rsid w:val="00FE6CA9"/>
    <w:rsid w:val="00FF02C3"/>
    <w:rsid w:val="00FF23CD"/>
    <w:rsid w:val="00FF28FF"/>
    <w:rsid w:val="00FF4EE9"/>
    <w:rsid w:val="00FF5835"/>
    <w:rsid w:val="00FF5E36"/>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y2iqfc">
    <w:name w:val="y2iqfc"/>
    <w:basedOn w:val="DefaultParagraphFont"/>
    <w:rsid w:val="00FC03EB"/>
  </w:style>
  <w:style w:type="paragraph" w:styleId="HTMLPreformatted">
    <w:name w:val="HTML Preformatted"/>
    <w:basedOn w:val="Normal"/>
    <w:link w:val="HTMLPreformattedChar"/>
    <w:uiPriority w:val="99"/>
    <w:semiHidden/>
    <w:unhideWhenUsed/>
    <w:rsid w:val="006C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6C16D3"/>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081">
      <w:bodyDiv w:val="1"/>
      <w:marLeft w:val="0"/>
      <w:marRight w:val="0"/>
      <w:marTop w:val="0"/>
      <w:marBottom w:val="0"/>
      <w:divBdr>
        <w:top w:val="none" w:sz="0" w:space="0" w:color="auto"/>
        <w:left w:val="none" w:sz="0" w:space="0" w:color="auto"/>
        <w:bottom w:val="none" w:sz="0" w:space="0" w:color="auto"/>
        <w:right w:val="none" w:sz="0" w:space="0" w:color="auto"/>
      </w:divBdr>
    </w:div>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02179450">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49328032">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514920616">
      <w:bodyDiv w:val="1"/>
      <w:marLeft w:val="0"/>
      <w:marRight w:val="0"/>
      <w:marTop w:val="0"/>
      <w:marBottom w:val="0"/>
      <w:divBdr>
        <w:top w:val="none" w:sz="0" w:space="0" w:color="auto"/>
        <w:left w:val="none" w:sz="0" w:space="0" w:color="auto"/>
        <w:bottom w:val="none" w:sz="0" w:space="0" w:color="auto"/>
        <w:right w:val="none" w:sz="0" w:space="0" w:color="auto"/>
      </w:divBdr>
    </w:div>
    <w:div w:id="581136401">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3863489">
      <w:bodyDiv w:val="1"/>
      <w:marLeft w:val="0"/>
      <w:marRight w:val="0"/>
      <w:marTop w:val="0"/>
      <w:marBottom w:val="0"/>
      <w:divBdr>
        <w:top w:val="none" w:sz="0" w:space="0" w:color="auto"/>
        <w:left w:val="none" w:sz="0" w:space="0" w:color="auto"/>
        <w:bottom w:val="none" w:sz="0" w:space="0" w:color="auto"/>
        <w:right w:val="none" w:sz="0" w:space="0" w:color="auto"/>
      </w:divBdr>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136340574">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287348867">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416631742">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13534083">
      <w:bodyDiv w:val="1"/>
      <w:marLeft w:val="0"/>
      <w:marRight w:val="0"/>
      <w:marTop w:val="0"/>
      <w:marBottom w:val="0"/>
      <w:divBdr>
        <w:top w:val="none" w:sz="0" w:space="0" w:color="auto"/>
        <w:left w:val="none" w:sz="0" w:space="0" w:color="auto"/>
        <w:bottom w:val="none" w:sz="0" w:space="0" w:color="auto"/>
        <w:right w:val="none" w:sz="0" w:space="0" w:color="auto"/>
      </w:divBdr>
    </w:div>
    <w:div w:id="17261764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1900440389">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6.xml"/><Relationship Id="rId26" Type="http://schemas.openxmlformats.org/officeDocument/2006/relationships/image" Target="media/image10.png"/><Relationship Id="rId39" Type="http://schemas.openxmlformats.org/officeDocument/2006/relationships/image" Target="media/image18.png"/><Relationship Id="rId21" Type="http://schemas.openxmlformats.org/officeDocument/2006/relationships/image" Target="media/image8.png"/><Relationship Id="rId34" Type="http://schemas.openxmlformats.org/officeDocument/2006/relationships/image" Target="media/image15.png"/><Relationship Id="rId42" Type="http://schemas.openxmlformats.org/officeDocument/2006/relationships/footer" Target="footer15.xml"/><Relationship Id="rId47" Type="http://schemas.openxmlformats.org/officeDocument/2006/relationships/image" Target="media/image24.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3.png"/><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image" Target="media/image14.png"/><Relationship Id="rId37" Type="http://schemas.openxmlformats.org/officeDocument/2006/relationships/footer" Target="footer14.xml"/><Relationship Id="rId40" Type="http://schemas.openxmlformats.org/officeDocument/2006/relationships/image" Target="media/image19.png"/><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7.xml"/><Relationship Id="rId28" Type="http://schemas.openxmlformats.org/officeDocument/2006/relationships/image" Target="media/image12.png"/><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footer" Target="footer11.xml"/><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footer" Target="footer10.xml"/><Relationship Id="rId35" Type="http://schemas.openxmlformats.org/officeDocument/2006/relationships/image" Target="media/image16.png"/><Relationship Id="rId43" Type="http://schemas.openxmlformats.org/officeDocument/2006/relationships/footer" Target="footer16.xml"/><Relationship Id="rId48" Type="http://schemas.openxmlformats.org/officeDocument/2006/relationships/footer" Target="footer1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image" Target="media/image17.png"/><Relationship Id="rId46" Type="http://schemas.openxmlformats.org/officeDocument/2006/relationships/image" Target="media/image23.png"/><Relationship Id="rId20" Type="http://schemas.openxmlformats.org/officeDocument/2006/relationships/image" Target="media/image7.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5DA9-481B-4C70-973B-B96FC65D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16</Pages>
  <Words>2285</Words>
  <Characters>13027</Characters>
  <Application>Microsoft Office Word</Application>
  <DocSecurity>0</DocSecurity>
  <Lines>108</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Hren Kristina</cp:lastModifiedBy>
  <cp:revision>24</cp:revision>
  <cp:lastPrinted>2020-09-28T06:58:00Z</cp:lastPrinted>
  <dcterms:created xsi:type="dcterms:W3CDTF">2025-07-23T08:15:00Z</dcterms:created>
  <dcterms:modified xsi:type="dcterms:W3CDTF">2025-08-21T07:34:00Z</dcterms:modified>
</cp:coreProperties>
</file>